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24A" w:rsidRDefault="002B424A" w:rsidP="00795818">
      <w:pPr>
        <w:shd w:val="clear" w:color="auto" w:fill="FFFFFF"/>
        <w:spacing w:after="0" w:line="312" w:lineRule="atLeast"/>
        <w:textAlignment w:val="baseline"/>
        <w:rPr>
          <w:rFonts w:ascii="Arial" w:eastAsia="Times New Roman" w:hAnsi="Arial" w:cs="Arial"/>
          <w:b/>
          <w:color w:val="000000"/>
          <w:sz w:val="24"/>
          <w:szCs w:val="24"/>
          <w:lang w:eastAsia="en-GB"/>
        </w:rPr>
      </w:pPr>
      <w:r>
        <w:rPr>
          <w:noProof/>
          <w:lang w:eastAsia="en-GB"/>
        </w:rPr>
        <w:drawing>
          <wp:anchor distT="0" distB="71755" distL="114300" distR="114300" simplePos="0" relativeHeight="251659264" behindDoc="1" locked="0" layoutInCell="1" allowOverlap="1" wp14:anchorId="532A9F56" wp14:editId="252F8C12">
            <wp:simplePos x="0" y="0"/>
            <wp:positionH relativeFrom="margin">
              <wp:align>right</wp:align>
            </wp:positionH>
            <wp:positionV relativeFrom="topMargin">
              <wp:posOffset>36246</wp:posOffset>
            </wp:positionV>
            <wp:extent cx="1951200" cy="1332000"/>
            <wp:effectExtent l="0" t="0" r="0" b="1905"/>
            <wp:wrapSquare wrapText="bothSides"/>
            <wp:docPr id="19" name="Picture 19" title="Royal Society of Chemi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_LOGO_CMYK_FINAL 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12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24A" w:rsidRDefault="002B424A" w:rsidP="00795818">
      <w:pPr>
        <w:shd w:val="clear" w:color="auto" w:fill="FFFFFF"/>
        <w:spacing w:after="0" w:line="312" w:lineRule="atLeast"/>
        <w:textAlignment w:val="baseline"/>
        <w:rPr>
          <w:rFonts w:ascii="Arial" w:eastAsia="Times New Roman" w:hAnsi="Arial" w:cs="Arial"/>
          <w:b/>
          <w:color w:val="000000"/>
          <w:sz w:val="24"/>
          <w:szCs w:val="24"/>
          <w:lang w:eastAsia="en-GB"/>
        </w:rPr>
      </w:pPr>
    </w:p>
    <w:p w:rsidR="002B424A" w:rsidRDefault="002B424A" w:rsidP="00795818">
      <w:pPr>
        <w:shd w:val="clear" w:color="auto" w:fill="FFFFFF"/>
        <w:spacing w:after="0" w:line="312" w:lineRule="atLeast"/>
        <w:textAlignment w:val="baseline"/>
        <w:rPr>
          <w:rFonts w:ascii="Arial" w:eastAsia="Times New Roman" w:hAnsi="Arial" w:cs="Arial"/>
          <w:b/>
          <w:color w:val="000000"/>
          <w:sz w:val="24"/>
          <w:szCs w:val="24"/>
          <w:lang w:eastAsia="en-GB"/>
        </w:rPr>
      </w:pPr>
    </w:p>
    <w:p w:rsidR="002B424A" w:rsidRPr="005E53CC" w:rsidRDefault="002B424A" w:rsidP="005E53CC">
      <w:pPr>
        <w:shd w:val="clear" w:color="auto" w:fill="FFFFFF"/>
        <w:spacing w:after="0" w:line="240" w:lineRule="auto"/>
        <w:textAlignment w:val="baseline"/>
        <w:rPr>
          <w:rFonts w:ascii="Arial" w:eastAsia="Times New Roman" w:hAnsi="Arial" w:cs="Arial"/>
          <w:b/>
          <w:color w:val="000000"/>
          <w:sz w:val="26"/>
          <w:szCs w:val="26"/>
          <w:lang w:eastAsia="en-GB"/>
        </w:rPr>
      </w:pPr>
      <w:r w:rsidRPr="005E53CC">
        <w:rPr>
          <w:rFonts w:ascii="Arial" w:eastAsia="Times New Roman" w:hAnsi="Arial" w:cs="Arial"/>
          <w:b/>
          <w:color w:val="000000"/>
          <w:sz w:val="26"/>
          <w:szCs w:val="26"/>
          <w:lang w:eastAsia="en-GB"/>
        </w:rPr>
        <w:t>Education Committee:</w:t>
      </w:r>
      <w:r w:rsidR="00A46D5E" w:rsidRPr="005E53CC">
        <w:rPr>
          <w:rFonts w:ascii="Arial" w:eastAsia="Times New Roman" w:hAnsi="Arial" w:cs="Arial"/>
          <w:b/>
          <w:color w:val="000000"/>
          <w:sz w:val="26"/>
          <w:szCs w:val="26"/>
          <w:lang w:eastAsia="en-GB"/>
        </w:rPr>
        <w:t xml:space="preserve"> Quality of a</w:t>
      </w:r>
      <w:r w:rsidRPr="005E53CC">
        <w:rPr>
          <w:rFonts w:ascii="Arial" w:eastAsia="Times New Roman" w:hAnsi="Arial" w:cs="Arial"/>
          <w:b/>
          <w:color w:val="000000"/>
          <w:sz w:val="26"/>
          <w:szCs w:val="26"/>
          <w:lang w:eastAsia="en-GB"/>
        </w:rPr>
        <w:t>pprenticeships and skills training inquiry</w:t>
      </w:r>
    </w:p>
    <w:p w:rsidR="002B424A" w:rsidRPr="005E53CC" w:rsidRDefault="002B424A" w:rsidP="005E53CC">
      <w:pPr>
        <w:shd w:val="clear" w:color="auto" w:fill="FFFFFF"/>
        <w:spacing w:after="0" w:line="240" w:lineRule="auto"/>
        <w:textAlignment w:val="baseline"/>
        <w:rPr>
          <w:rFonts w:ascii="Arial" w:eastAsia="Times New Roman" w:hAnsi="Arial" w:cs="Arial"/>
          <w:b/>
          <w:sz w:val="16"/>
          <w:szCs w:val="16"/>
          <w:lang w:val="en" w:eastAsia="en-GB"/>
        </w:rPr>
      </w:pPr>
    </w:p>
    <w:p w:rsidR="002B424A" w:rsidRPr="005E53CC" w:rsidRDefault="002B424A" w:rsidP="005E53CC">
      <w:pPr>
        <w:shd w:val="clear" w:color="auto" w:fill="FFFFFF"/>
        <w:spacing w:after="0" w:line="240" w:lineRule="auto"/>
        <w:textAlignment w:val="baseline"/>
        <w:rPr>
          <w:rFonts w:ascii="Arial" w:eastAsia="Times New Roman" w:hAnsi="Arial" w:cs="Arial"/>
          <w:b/>
          <w:color w:val="000000"/>
          <w:sz w:val="26"/>
          <w:szCs w:val="26"/>
          <w:lang w:eastAsia="en-GB"/>
        </w:rPr>
      </w:pPr>
      <w:r w:rsidRPr="005E53CC">
        <w:rPr>
          <w:rFonts w:ascii="Arial" w:eastAsia="Times New Roman" w:hAnsi="Arial" w:cs="Arial"/>
          <w:b/>
          <w:sz w:val="26"/>
          <w:szCs w:val="26"/>
          <w:lang w:val="en" w:eastAsia="en-GB"/>
        </w:rPr>
        <w:t>Written evidence submitted by the Royal Society of Chemistry</w:t>
      </w:r>
    </w:p>
    <w:p w:rsidR="00795818" w:rsidRPr="00260DE7" w:rsidRDefault="00795818" w:rsidP="00795818">
      <w:pPr>
        <w:shd w:val="clear" w:color="auto" w:fill="FFFFFF"/>
        <w:spacing w:after="0" w:line="312" w:lineRule="atLeast"/>
        <w:textAlignment w:val="baseline"/>
        <w:rPr>
          <w:rFonts w:ascii="inherit" w:eastAsia="Times New Roman" w:hAnsi="inherit" w:cs="Times New Roman"/>
          <w:color w:val="000000"/>
          <w:sz w:val="24"/>
          <w:szCs w:val="24"/>
          <w:lang w:eastAsia="en-GB"/>
        </w:rPr>
      </w:pPr>
    </w:p>
    <w:p w:rsidR="00A46D5E" w:rsidRPr="00260DE7" w:rsidRDefault="00A46D5E" w:rsidP="00A46D5E">
      <w:pPr>
        <w:pStyle w:val="ListParagraph"/>
        <w:numPr>
          <w:ilvl w:val="0"/>
          <w:numId w:val="6"/>
        </w:numPr>
        <w:shd w:val="clear" w:color="auto" w:fill="FFFFFF"/>
        <w:spacing w:after="0" w:line="312" w:lineRule="atLeast"/>
        <w:textAlignment w:val="baseline"/>
        <w:rPr>
          <w:rFonts w:ascii="Arial" w:eastAsia="Times New Roman" w:hAnsi="Arial" w:cs="Arial"/>
          <w:b/>
          <w:color w:val="000000"/>
          <w:sz w:val="24"/>
          <w:szCs w:val="24"/>
          <w:lang w:eastAsia="en-GB"/>
        </w:rPr>
      </w:pPr>
      <w:r w:rsidRPr="00260DE7">
        <w:rPr>
          <w:rFonts w:ascii="Arial" w:eastAsia="Times New Roman" w:hAnsi="Arial" w:cs="Arial"/>
          <w:b/>
          <w:color w:val="000000"/>
          <w:sz w:val="24"/>
          <w:szCs w:val="24"/>
          <w:lang w:eastAsia="en-GB"/>
        </w:rPr>
        <w:t>Introduction</w:t>
      </w:r>
    </w:p>
    <w:p w:rsidR="00A46D5E" w:rsidRPr="00260DE7" w:rsidRDefault="00A46D5E" w:rsidP="00A46D5E">
      <w:pPr>
        <w:shd w:val="clear" w:color="auto" w:fill="FFFFFF"/>
        <w:spacing w:after="0" w:line="312" w:lineRule="atLeast"/>
        <w:textAlignment w:val="baseline"/>
        <w:rPr>
          <w:rFonts w:ascii="inherit" w:eastAsia="Times New Roman" w:hAnsi="inherit" w:cs="Times New Roman"/>
          <w:color w:val="000000"/>
          <w:sz w:val="20"/>
          <w:szCs w:val="20"/>
          <w:lang w:eastAsia="en-GB"/>
        </w:rPr>
      </w:pPr>
    </w:p>
    <w:p w:rsidR="009F5ACC" w:rsidRPr="00260DE7" w:rsidRDefault="00A46D5E" w:rsidP="00A46D5E">
      <w:pPr>
        <w:shd w:val="clear" w:color="auto" w:fill="FFFFFF"/>
        <w:spacing w:after="0" w:line="312" w:lineRule="atLeast"/>
        <w:textAlignment w:val="baseline"/>
        <w:rPr>
          <w:rFonts w:ascii="Arial" w:eastAsia="Times New Roman" w:hAnsi="Arial" w:cs="Arial"/>
          <w:sz w:val="20"/>
          <w:szCs w:val="20"/>
          <w:lang w:eastAsia="en-GB"/>
        </w:rPr>
      </w:pPr>
      <w:r w:rsidRPr="00260DE7">
        <w:rPr>
          <w:rFonts w:ascii="Arial" w:eastAsia="Times New Roman" w:hAnsi="Arial" w:cs="Arial"/>
          <w:sz w:val="20"/>
          <w:szCs w:val="20"/>
          <w:lang w:eastAsia="en-GB"/>
        </w:rPr>
        <w:t>We are supportive of apprenticeships and the Government’s ambition to create more, because we recognise the benefits they bring to individuals, employers and the wider economy.</w:t>
      </w:r>
      <w:r w:rsidRPr="00260DE7">
        <w:rPr>
          <w:rFonts w:ascii="Arial" w:eastAsia="Times New Roman" w:hAnsi="Arial" w:cs="Arial"/>
          <w:sz w:val="20"/>
          <w:szCs w:val="20"/>
          <w:lang w:eastAsia="en-GB"/>
        </w:rPr>
        <w:t xml:space="preserve">  </w:t>
      </w:r>
    </w:p>
    <w:p w:rsidR="009F5ACC" w:rsidRPr="00260DE7" w:rsidRDefault="009F5ACC" w:rsidP="00A46D5E">
      <w:pPr>
        <w:shd w:val="clear" w:color="auto" w:fill="FFFFFF"/>
        <w:spacing w:after="0" w:line="312" w:lineRule="atLeast"/>
        <w:textAlignment w:val="baseline"/>
        <w:rPr>
          <w:rFonts w:ascii="Arial" w:eastAsia="Times New Roman" w:hAnsi="Arial" w:cs="Arial"/>
          <w:sz w:val="20"/>
          <w:szCs w:val="20"/>
          <w:lang w:eastAsia="en-GB"/>
        </w:rPr>
      </w:pPr>
    </w:p>
    <w:p w:rsidR="00A46D5E" w:rsidRPr="00260DE7" w:rsidRDefault="00A46D5E" w:rsidP="00795818">
      <w:pPr>
        <w:shd w:val="clear" w:color="auto" w:fill="FFFFFF"/>
        <w:spacing w:after="0" w:line="312" w:lineRule="atLeast"/>
        <w:textAlignment w:val="baseline"/>
        <w:rPr>
          <w:rFonts w:ascii="Arial" w:eastAsia="Times New Roman" w:hAnsi="Arial" w:cs="Arial"/>
          <w:sz w:val="20"/>
          <w:szCs w:val="20"/>
          <w:lang w:eastAsia="en-GB"/>
        </w:rPr>
      </w:pPr>
      <w:r w:rsidRPr="00260DE7">
        <w:rPr>
          <w:rFonts w:ascii="Arial" w:eastAsia="Times New Roman" w:hAnsi="Arial" w:cs="Arial"/>
          <w:sz w:val="20"/>
          <w:szCs w:val="20"/>
          <w:lang w:eastAsia="en-GB"/>
        </w:rPr>
        <w:t>We welcome the opportunity to respond to this inquiry as we recognise</w:t>
      </w:r>
      <w:r w:rsidR="009F5ACC" w:rsidRPr="00260DE7">
        <w:rPr>
          <w:rFonts w:ascii="Arial" w:eastAsia="Times New Roman" w:hAnsi="Arial" w:cs="Arial"/>
          <w:sz w:val="20"/>
          <w:szCs w:val="20"/>
          <w:lang w:eastAsia="en-GB"/>
        </w:rPr>
        <w:t xml:space="preserve"> that if apprenticeships are to be valued they must be of the highest quality and afforded appropriate protection</w:t>
      </w:r>
      <w:r w:rsidR="00260DE7" w:rsidRPr="00260DE7">
        <w:rPr>
          <w:rFonts w:ascii="Arial" w:eastAsia="Times New Roman" w:hAnsi="Arial" w:cs="Arial"/>
          <w:sz w:val="20"/>
          <w:szCs w:val="20"/>
          <w:lang w:eastAsia="en-GB"/>
        </w:rPr>
        <w:t>.</w:t>
      </w:r>
      <w:r w:rsidRPr="00260DE7">
        <w:rPr>
          <w:rFonts w:ascii="Arial" w:eastAsia="Times New Roman" w:hAnsi="Arial" w:cs="Arial"/>
          <w:sz w:val="20"/>
          <w:szCs w:val="20"/>
          <w:lang w:eastAsia="en-GB"/>
        </w:rPr>
        <w:t xml:space="preserve"> </w:t>
      </w:r>
    </w:p>
    <w:p w:rsidR="00A46D5E" w:rsidRPr="00260DE7" w:rsidRDefault="00A46D5E" w:rsidP="00795818">
      <w:pPr>
        <w:shd w:val="clear" w:color="auto" w:fill="FFFFFF"/>
        <w:spacing w:after="0" w:line="312" w:lineRule="atLeast"/>
        <w:textAlignment w:val="baseline"/>
        <w:rPr>
          <w:rFonts w:ascii="inherit" w:eastAsia="Times New Roman" w:hAnsi="inherit" w:cs="Times New Roman"/>
          <w:color w:val="000000"/>
          <w:sz w:val="20"/>
          <w:szCs w:val="20"/>
          <w:lang w:eastAsia="en-GB"/>
        </w:rPr>
      </w:pPr>
    </w:p>
    <w:p w:rsidR="00A46D5E" w:rsidRPr="005E53CC" w:rsidRDefault="00A46D5E" w:rsidP="005E53CC">
      <w:pPr>
        <w:pStyle w:val="ListParagraph"/>
        <w:numPr>
          <w:ilvl w:val="0"/>
          <w:numId w:val="6"/>
        </w:numPr>
        <w:shd w:val="clear" w:color="auto" w:fill="FFFFFF"/>
        <w:spacing w:after="0" w:line="312" w:lineRule="atLeast"/>
        <w:textAlignment w:val="baseline"/>
        <w:rPr>
          <w:rFonts w:ascii="Arial" w:eastAsia="Times New Roman" w:hAnsi="Arial" w:cs="Arial"/>
          <w:b/>
          <w:color w:val="000000"/>
          <w:sz w:val="24"/>
          <w:szCs w:val="24"/>
          <w:lang w:eastAsia="en-GB"/>
        </w:rPr>
      </w:pPr>
      <w:r w:rsidRPr="005E53CC">
        <w:rPr>
          <w:rFonts w:ascii="Arial" w:eastAsia="Times New Roman" w:hAnsi="Arial" w:cs="Arial"/>
          <w:b/>
          <w:color w:val="000000"/>
          <w:sz w:val="24"/>
          <w:szCs w:val="24"/>
          <w:lang w:eastAsia="en-GB"/>
        </w:rPr>
        <w:t>The quality of current provision, how this varies by sector, level and region, and the impact of this on learner outcomes</w:t>
      </w:r>
    </w:p>
    <w:p w:rsidR="00A46D5E" w:rsidRDefault="00A46D5E" w:rsidP="00795818">
      <w:pPr>
        <w:shd w:val="clear" w:color="auto" w:fill="FFFFFF"/>
        <w:spacing w:after="0" w:line="312" w:lineRule="atLeast"/>
        <w:textAlignment w:val="baseline"/>
        <w:rPr>
          <w:rFonts w:ascii="Arial" w:eastAsia="Times New Roman" w:hAnsi="Arial" w:cs="Arial"/>
          <w:color w:val="000000"/>
          <w:sz w:val="20"/>
          <w:szCs w:val="20"/>
          <w:lang w:eastAsia="en-GB"/>
        </w:rPr>
      </w:pPr>
    </w:p>
    <w:p w:rsidR="00795818" w:rsidRPr="002172AA" w:rsidRDefault="00795818" w:rsidP="00795818">
      <w:pPr>
        <w:shd w:val="clear" w:color="auto" w:fill="FFFFFF"/>
        <w:spacing w:after="0" w:line="312" w:lineRule="atLeast"/>
        <w:textAlignment w:val="baseline"/>
        <w:rPr>
          <w:rFonts w:ascii="Arial" w:eastAsia="Times New Roman" w:hAnsi="Arial" w:cs="Arial"/>
          <w:color w:val="000000"/>
          <w:sz w:val="20"/>
          <w:szCs w:val="20"/>
          <w:lang w:eastAsia="en-GB"/>
        </w:rPr>
      </w:pPr>
      <w:r w:rsidRPr="002172AA">
        <w:rPr>
          <w:rFonts w:ascii="Arial" w:eastAsia="Times New Roman" w:hAnsi="Arial" w:cs="Arial"/>
          <w:color w:val="000000"/>
          <w:sz w:val="20"/>
          <w:szCs w:val="20"/>
          <w:lang w:eastAsia="en-GB"/>
        </w:rPr>
        <w:t>We value having qualifications within the</w:t>
      </w:r>
      <w:r w:rsidR="005D7C88" w:rsidRPr="002172AA">
        <w:rPr>
          <w:rFonts w:ascii="Arial" w:eastAsia="Times New Roman" w:hAnsi="Arial" w:cs="Arial"/>
          <w:color w:val="000000"/>
          <w:sz w:val="20"/>
          <w:szCs w:val="20"/>
          <w:lang w:eastAsia="en-GB"/>
        </w:rPr>
        <w:t xml:space="preserve"> apprenticeship</w:t>
      </w:r>
      <w:r w:rsidRPr="002172AA">
        <w:rPr>
          <w:rFonts w:ascii="Arial" w:eastAsia="Times New Roman" w:hAnsi="Arial" w:cs="Arial"/>
          <w:color w:val="000000"/>
          <w:sz w:val="20"/>
          <w:szCs w:val="20"/>
          <w:lang w:eastAsia="en-GB"/>
        </w:rPr>
        <w:t xml:space="preserve"> standards.  </w:t>
      </w:r>
      <w:r w:rsidR="005D7C88" w:rsidRPr="002172AA">
        <w:rPr>
          <w:rFonts w:ascii="Arial" w:eastAsia="Times New Roman" w:hAnsi="Arial" w:cs="Arial"/>
          <w:color w:val="000000"/>
          <w:sz w:val="20"/>
          <w:szCs w:val="20"/>
          <w:lang w:eastAsia="en-GB"/>
        </w:rPr>
        <w:t xml:space="preserve">Qualifications provide a level of assurance and trusted currency within the sector </w:t>
      </w:r>
      <w:r w:rsidR="00C85629" w:rsidRPr="002172AA">
        <w:rPr>
          <w:rFonts w:ascii="Arial" w:eastAsia="Times New Roman" w:hAnsi="Arial" w:cs="Arial"/>
          <w:color w:val="000000"/>
          <w:sz w:val="20"/>
          <w:szCs w:val="20"/>
          <w:lang w:eastAsia="en-GB"/>
        </w:rPr>
        <w:t xml:space="preserve">that supports both lateral and upward mobility.  We also believe it is important that individuals have the opportunity to achieve a qualification even if they are unsuccessful within their </w:t>
      </w:r>
      <w:r w:rsidR="002172AA" w:rsidRPr="002172AA">
        <w:rPr>
          <w:rFonts w:ascii="Arial" w:eastAsia="Times New Roman" w:hAnsi="Arial" w:cs="Arial"/>
          <w:color w:val="000000"/>
          <w:sz w:val="20"/>
          <w:szCs w:val="20"/>
          <w:lang w:eastAsia="en-GB"/>
        </w:rPr>
        <w:t>apprenticeship</w:t>
      </w:r>
      <w:r w:rsidR="002172AA">
        <w:rPr>
          <w:rFonts w:ascii="Arial" w:eastAsia="Times New Roman" w:hAnsi="Arial" w:cs="Arial"/>
          <w:color w:val="000000"/>
          <w:sz w:val="20"/>
          <w:szCs w:val="20"/>
          <w:lang w:eastAsia="en-GB"/>
        </w:rPr>
        <w:t>.</w:t>
      </w:r>
    </w:p>
    <w:p w:rsidR="00795818" w:rsidRPr="00260DE7" w:rsidRDefault="00795818" w:rsidP="00795818">
      <w:pPr>
        <w:shd w:val="clear" w:color="auto" w:fill="FFFFFF"/>
        <w:spacing w:after="0" w:line="312" w:lineRule="atLeast"/>
        <w:textAlignment w:val="baseline"/>
        <w:rPr>
          <w:rFonts w:ascii="inherit" w:eastAsia="Times New Roman" w:hAnsi="inherit" w:cs="Times New Roman"/>
          <w:color w:val="000000"/>
          <w:sz w:val="20"/>
          <w:szCs w:val="20"/>
          <w:lang w:eastAsia="en-GB"/>
        </w:rPr>
      </w:pPr>
    </w:p>
    <w:p w:rsidR="002172AA" w:rsidRDefault="002172AA" w:rsidP="002172AA">
      <w:pPr>
        <w:spacing w:after="0" w:line="300" w:lineRule="auto"/>
        <w:rPr>
          <w:rFonts w:ascii="Arial" w:hAnsi="Arial" w:cs="Arial"/>
          <w:sz w:val="20"/>
          <w:szCs w:val="20"/>
        </w:rPr>
      </w:pPr>
      <w:r w:rsidRPr="001E4134">
        <w:rPr>
          <w:rFonts w:ascii="Arial" w:hAnsi="Arial" w:cs="Arial"/>
          <w:sz w:val="20"/>
          <w:szCs w:val="20"/>
        </w:rPr>
        <w:t>There are a number of organisations involved with the delivery and design of new apprenticeship standards. We believe a mor</w:t>
      </w:r>
      <w:r>
        <w:rPr>
          <w:rFonts w:ascii="Arial" w:hAnsi="Arial" w:cs="Arial"/>
          <w:sz w:val="20"/>
          <w:szCs w:val="20"/>
        </w:rPr>
        <w:t>e thorough analysis of</w:t>
      </w:r>
      <w:r w:rsidRPr="001E4134">
        <w:rPr>
          <w:rFonts w:ascii="Arial" w:hAnsi="Arial" w:cs="Arial"/>
          <w:sz w:val="20"/>
          <w:szCs w:val="20"/>
        </w:rPr>
        <w:t xml:space="preserve"> conflicts of interest should be</w:t>
      </w:r>
      <w:r>
        <w:rPr>
          <w:rFonts w:ascii="Arial" w:hAnsi="Arial" w:cs="Arial"/>
          <w:sz w:val="20"/>
          <w:szCs w:val="20"/>
        </w:rPr>
        <w:t xml:space="preserve"> undertaken.</w:t>
      </w:r>
      <w:r w:rsidRPr="001E4134">
        <w:rPr>
          <w:rFonts w:ascii="Arial" w:hAnsi="Arial" w:cs="Arial"/>
          <w:sz w:val="20"/>
          <w:szCs w:val="20"/>
        </w:rPr>
        <w:t xml:space="preserve"> For instance, we </w:t>
      </w:r>
      <w:r>
        <w:rPr>
          <w:rFonts w:ascii="Arial" w:hAnsi="Arial" w:cs="Arial"/>
          <w:sz w:val="20"/>
          <w:szCs w:val="20"/>
        </w:rPr>
        <w:t>are aware</w:t>
      </w:r>
      <w:r w:rsidRPr="001E4134">
        <w:rPr>
          <w:rFonts w:ascii="Arial" w:hAnsi="Arial" w:cs="Arial"/>
          <w:sz w:val="20"/>
          <w:szCs w:val="20"/>
        </w:rPr>
        <w:t xml:space="preserve"> of some trailblazer groups having End Point Assessment Organisations </w:t>
      </w:r>
      <w:r>
        <w:rPr>
          <w:rFonts w:ascii="Arial" w:hAnsi="Arial" w:cs="Arial"/>
          <w:sz w:val="20"/>
          <w:szCs w:val="20"/>
        </w:rPr>
        <w:t>facilitating the trailblazer group. We believe this</w:t>
      </w:r>
      <w:r w:rsidR="00F56587">
        <w:rPr>
          <w:rFonts w:ascii="Arial" w:hAnsi="Arial" w:cs="Arial"/>
          <w:sz w:val="20"/>
          <w:szCs w:val="20"/>
        </w:rPr>
        <w:t xml:space="preserve"> </w:t>
      </w:r>
      <w:r w:rsidR="00F56587" w:rsidRPr="005E03DE">
        <w:rPr>
          <w:rFonts w:ascii="Arial" w:hAnsi="Arial" w:cs="Arial"/>
          <w:sz w:val="20"/>
          <w:szCs w:val="20"/>
        </w:rPr>
        <w:t>potentially</w:t>
      </w:r>
      <w:r w:rsidRPr="005E03DE">
        <w:rPr>
          <w:rFonts w:ascii="Arial" w:hAnsi="Arial" w:cs="Arial"/>
          <w:sz w:val="20"/>
          <w:szCs w:val="20"/>
        </w:rPr>
        <w:t xml:space="preserve"> creates</w:t>
      </w:r>
      <w:r>
        <w:rPr>
          <w:rFonts w:ascii="Arial" w:hAnsi="Arial" w:cs="Arial"/>
          <w:sz w:val="20"/>
          <w:szCs w:val="20"/>
        </w:rPr>
        <w:t xml:space="preserve"> a serious conflict of interest when decisions are made in respect of assessment plans, integrated degree apprenticeships and E</w:t>
      </w:r>
      <w:r w:rsidR="00DA2D6C">
        <w:rPr>
          <w:rFonts w:ascii="Arial" w:hAnsi="Arial" w:cs="Arial"/>
          <w:sz w:val="20"/>
          <w:szCs w:val="20"/>
        </w:rPr>
        <w:t xml:space="preserve">xternal </w:t>
      </w:r>
      <w:r>
        <w:rPr>
          <w:rFonts w:ascii="Arial" w:hAnsi="Arial" w:cs="Arial"/>
          <w:sz w:val="20"/>
          <w:szCs w:val="20"/>
        </w:rPr>
        <w:t>Q</w:t>
      </w:r>
      <w:r w:rsidR="00DA2D6C">
        <w:rPr>
          <w:rFonts w:ascii="Arial" w:hAnsi="Arial" w:cs="Arial"/>
          <w:sz w:val="20"/>
          <w:szCs w:val="20"/>
        </w:rPr>
        <w:t xml:space="preserve">uality </w:t>
      </w:r>
      <w:r>
        <w:rPr>
          <w:rFonts w:ascii="Arial" w:hAnsi="Arial" w:cs="Arial"/>
          <w:sz w:val="20"/>
          <w:szCs w:val="20"/>
        </w:rPr>
        <w:t>A</w:t>
      </w:r>
      <w:r w:rsidR="00DA2D6C">
        <w:rPr>
          <w:rFonts w:ascii="Arial" w:hAnsi="Arial" w:cs="Arial"/>
          <w:sz w:val="20"/>
          <w:szCs w:val="20"/>
        </w:rPr>
        <w:t>ssurance</w:t>
      </w:r>
      <w:r>
        <w:rPr>
          <w:rFonts w:ascii="Arial" w:hAnsi="Arial" w:cs="Arial"/>
          <w:sz w:val="20"/>
          <w:szCs w:val="20"/>
        </w:rPr>
        <w:t xml:space="preserve"> of the </w:t>
      </w:r>
      <w:r w:rsidR="00F56587">
        <w:rPr>
          <w:rFonts w:ascii="Arial" w:hAnsi="Arial" w:cs="Arial"/>
          <w:sz w:val="20"/>
          <w:szCs w:val="20"/>
        </w:rPr>
        <w:t>End P</w:t>
      </w:r>
      <w:r>
        <w:rPr>
          <w:rFonts w:ascii="Arial" w:hAnsi="Arial" w:cs="Arial"/>
          <w:sz w:val="20"/>
          <w:szCs w:val="20"/>
        </w:rPr>
        <w:t xml:space="preserve">oint </w:t>
      </w:r>
      <w:r w:rsidR="00F56587">
        <w:rPr>
          <w:rFonts w:ascii="Arial" w:hAnsi="Arial" w:cs="Arial"/>
          <w:sz w:val="20"/>
          <w:szCs w:val="20"/>
        </w:rPr>
        <w:t>A</w:t>
      </w:r>
      <w:r>
        <w:rPr>
          <w:rFonts w:ascii="Arial" w:hAnsi="Arial" w:cs="Arial"/>
          <w:sz w:val="20"/>
          <w:szCs w:val="20"/>
        </w:rPr>
        <w:t xml:space="preserve">ssessment.  Where there are conflicts of interest, the integrity of the apprenticeship system </w:t>
      </w:r>
      <w:r w:rsidRPr="005E03DE">
        <w:rPr>
          <w:rFonts w:ascii="Arial" w:hAnsi="Arial" w:cs="Arial"/>
          <w:sz w:val="20"/>
          <w:szCs w:val="20"/>
        </w:rPr>
        <w:t>is</w:t>
      </w:r>
      <w:r w:rsidR="00F56587" w:rsidRPr="005E03DE">
        <w:rPr>
          <w:rFonts w:ascii="Arial" w:hAnsi="Arial" w:cs="Arial"/>
          <w:sz w:val="20"/>
          <w:szCs w:val="20"/>
        </w:rPr>
        <w:t xml:space="preserve"> at risk of being</w:t>
      </w:r>
      <w:r w:rsidRPr="005E03DE">
        <w:rPr>
          <w:rFonts w:ascii="Arial" w:hAnsi="Arial" w:cs="Arial"/>
          <w:sz w:val="20"/>
          <w:szCs w:val="20"/>
        </w:rPr>
        <w:t xml:space="preserve"> brought into question </w:t>
      </w:r>
      <w:r w:rsidR="00F56587" w:rsidRPr="005E03DE">
        <w:rPr>
          <w:rFonts w:ascii="Arial" w:hAnsi="Arial" w:cs="Arial"/>
          <w:sz w:val="20"/>
          <w:szCs w:val="20"/>
        </w:rPr>
        <w:t>which could</w:t>
      </w:r>
      <w:r w:rsidR="00E96957" w:rsidRPr="005E03DE">
        <w:rPr>
          <w:rFonts w:ascii="Arial" w:hAnsi="Arial" w:cs="Arial"/>
          <w:sz w:val="20"/>
          <w:szCs w:val="20"/>
        </w:rPr>
        <w:t xml:space="preserve"> have a detrimental impact upon the perceived quality.</w:t>
      </w:r>
      <w:r>
        <w:rPr>
          <w:rFonts w:ascii="Arial" w:hAnsi="Arial" w:cs="Arial"/>
          <w:sz w:val="20"/>
          <w:szCs w:val="20"/>
        </w:rPr>
        <w:t xml:space="preserve"> </w:t>
      </w:r>
    </w:p>
    <w:p w:rsidR="00DA2D6C" w:rsidRDefault="00DA2D6C" w:rsidP="002172AA">
      <w:pPr>
        <w:spacing w:after="0" w:line="300" w:lineRule="auto"/>
        <w:rPr>
          <w:rFonts w:ascii="Arial" w:hAnsi="Arial" w:cs="Arial"/>
          <w:sz w:val="20"/>
          <w:szCs w:val="20"/>
        </w:rPr>
      </w:pPr>
    </w:p>
    <w:p w:rsidR="00DA2D6C" w:rsidRDefault="00DA2D6C" w:rsidP="00DA2D6C">
      <w:pPr>
        <w:spacing w:after="0" w:line="300" w:lineRule="auto"/>
        <w:rPr>
          <w:rFonts w:ascii="Arial" w:hAnsi="Arial" w:cs="Arial"/>
          <w:sz w:val="20"/>
          <w:szCs w:val="20"/>
        </w:rPr>
      </w:pPr>
      <w:r>
        <w:rPr>
          <w:rFonts w:ascii="Arial" w:hAnsi="Arial" w:cs="Arial"/>
          <w:sz w:val="20"/>
          <w:szCs w:val="20"/>
        </w:rPr>
        <w:t xml:space="preserve">Clear terms of reference should be outlined for all groups who have a role with quality in apprenticeships. Interdependencies should be outlined which clearly detail roles and responsibilities, and the process should conflicts emerge. </w:t>
      </w:r>
    </w:p>
    <w:p w:rsidR="002172AA" w:rsidRPr="00795818" w:rsidRDefault="002172AA" w:rsidP="00795818">
      <w:pPr>
        <w:shd w:val="clear" w:color="auto" w:fill="FFFFFF"/>
        <w:spacing w:after="0" w:line="312" w:lineRule="atLeast"/>
        <w:textAlignment w:val="baseline"/>
        <w:rPr>
          <w:rFonts w:ascii="inherit" w:eastAsia="Times New Roman" w:hAnsi="inherit" w:cs="Times New Roman"/>
          <w:color w:val="000000"/>
          <w:sz w:val="19"/>
          <w:szCs w:val="19"/>
          <w:lang w:eastAsia="en-GB"/>
        </w:rPr>
      </w:pPr>
    </w:p>
    <w:p w:rsidR="00795818" w:rsidRPr="005E53CC" w:rsidRDefault="00795818" w:rsidP="005E53CC">
      <w:pPr>
        <w:pStyle w:val="ListParagraph"/>
        <w:numPr>
          <w:ilvl w:val="0"/>
          <w:numId w:val="6"/>
        </w:numPr>
        <w:shd w:val="clear" w:color="auto" w:fill="FFFFFF"/>
        <w:spacing w:after="0" w:line="312" w:lineRule="atLeast"/>
        <w:textAlignment w:val="baseline"/>
        <w:rPr>
          <w:rFonts w:ascii="Arial" w:eastAsia="Times New Roman" w:hAnsi="Arial" w:cs="Arial"/>
          <w:b/>
          <w:color w:val="000000"/>
          <w:sz w:val="24"/>
          <w:szCs w:val="24"/>
          <w:lang w:eastAsia="en-GB"/>
        </w:rPr>
      </w:pPr>
      <w:r w:rsidRPr="005E53CC">
        <w:rPr>
          <w:rFonts w:ascii="Arial" w:eastAsia="Times New Roman" w:hAnsi="Arial" w:cs="Arial"/>
          <w:b/>
          <w:color w:val="000000"/>
          <w:sz w:val="24"/>
          <w:szCs w:val="24"/>
          <w:lang w:eastAsia="en-GB"/>
        </w:rPr>
        <w:t xml:space="preserve">The effectiveness of the quality monitoring system, in particular </w:t>
      </w:r>
      <w:r w:rsidR="002172AA" w:rsidRPr="005E53CC">
        <w:rPr>
          <w:rFonts w:ascii="Arial" w:eastAsia="Times New Roman" w:hAnsi="Arial" w:cs="Arial"/>
          <w:b/>
          <w:color w:val="000000"/>
          <w:sz w:val="24"/>
          <w:szCs w:val="24"/>
          <w:lang w:eastAsia="en-GB"/>
        </w:rPr>
        <w:t>the role and capacity of Ofsted</w:t>
      </w:r>
    </w:p>
    <w:p w:rsidR="00795818" w:rsidRPr="00260DE7" w:rsidRDefault="00795818" w:rsidP="00795818">
      <w:pPr>
        <w:shd w:val="clear" w:color="auto" w:fill="FFFFFF"/>
        <w:spacing w:after="0" w:line="312" w:lineRule="atLeast"/>
        <w:textAlignment w:val="baseline"/>
        <w:rPr>
          <w:rFonts w:ascii="inherit" w:eastAsia="Times New Roman" w:hAnsi="inherit" w:cs="Times New Roman"/>
          <w:color w:val="000000"/>
          <w:sz w:val="20"/>
          <w:szCs w:val="20"/>
          <w:lang w:eastAsia="en-GB"/>
        </w:rPr>
      </w:pPr>
    </w:p>
    <w:p w:rsidR="00C936D3" w:rsidRPr="00260DE7" w:rsidRDefault="00C936D3" w:rsidP="00C936D3">
      <w:pPr>
        <w:spacing w:after="0" w:line="300" w:lineRule="auto"/>
        <w:rPr>
          <w:rFonts w:ascii="Arial" w:hAnsi="Arial" w:cs="Arial"/>
          <w:sz w:val="20"/>
          <w:szCs w:val="20"/>
        </w:rPr>
      </w:pPr>
      <w:r w:rsidRPr="00260DE7">
        <w:rPr>
          <w:rFonts w:ascii="Arial" w:hAnsi="Arial" w:cs="Arial"/>
          <w:sz w:val="20"/>
          <w:szCs w:val="20"/>
        </w:rPr>
        <w:t>We have concerns with the principle of the reforms having more of a focus on the outcome of apprenticeships. By definition this means there will be less of a focus on the learning journey. The outcome is important, but we would also like to see appropriate quality measures and triggers within the learning journey. A focus on outcome creates the risk of poor training programmes being put in place that will not be apparent until the apprentice is assessed at the end of the programme.</w:t>
      </w:r>
      <w:r w:rsidR="00C85629" w:rsidRPr="00260DE7">
        <w:rPr>
          <w:rFonts w:ascii="Arial" w:hAnsi="Arial" w:cs="Arial"/>
          <w:sz w:val="20"/>
          <w:szCs w:val="20"/>
        </w:rPr>
        <w:t xml:space="preserve"> </w:t>
      </w:r>
    </w:p>
    <w:p w:rsidR="00C02FBC" w:rsidRPr="00260DE7" w:rsidRDefault="00C02FBC" w:rsidP="00795818">
      <w:pPr>
        <w:shd w:val="clear" w:color="auto" w:fill="FFFFFF"/>
        <w:spacing w:after="0" w:line="312" w:lineRule="atLeast"/>
        <w:textAlignment w:val="baseline"/>
        <w:rPr>
          <w:rFonts w:ascii="inherit" w:eastAsia="Times New Roman" w:hAnsi="inherit" w:cs="Times New Roman"/>
          <w:color w:val="000000"/>
          <w:sz w:val="20"/>
          <w:szCs w:val="20"/>
          <w:lang w:eastAsia="en-GB"/>
        </w:rPr>
      </w:pPr>
    </w:p>
    <w:p w:rsidR="00C85629" w:rsidRPr="00260DE7" w:rsidRDefault="00C85629" w:rsidP="00795818">
      <w:pPr>
        <w:shd w:val="clear" w:color="auto" w:fill="FFFFFF"/>
        <w:spacing w:after="0" w:line="312" w:lineRule="atLeast"/>
        <w:textAlignment w:val="baseline"/>
        <w:rPr>
          <w:rFonts w:ascii="Arial" w:eastAsia="Times New Roman" w:hAnsi="Arial" w:cs="Arial"/>
          <w:color w:val="000000"/>
          <w:sz w:val="20"/>
          <w:szCs w:val="20"/>
          <w:lang w:eastAsia="en-GB"/>
        </w:rPr>
      </w:pPr>
      <w:r w:rsidRPr="00260DE7">
        <w:rPr>
          <w:rFonts w:ascii="Arial" w:eastAsia="Times New Roman" w:hAnsi="Arial" w:cs="Arial"/>
          <w:color w:val="000000"/>
          <w:sz w:val="20"/>
          <w:szCs w:val="20"/>
          <w:lang w:eastAsia="en-GB"/>
        </w:rPr>
        <w:t>Ofsted undoubtedly has an important role to play with inspecting delivery across all providers.  There has however been a large increase in the number of apprenticeship providers since the Regis</w:t>
      </w:r>
      <w:r w:rsidR="002172AA" w:rsidRPr="00260DE7">
        <w:rPr>
          <w:rFonts w:ascii="Arial" w:eastAsia="Times New Roman" w:hAnsi="Arial" w:cs="Arial"/>
          <w:color w:val="000000"/>
          <w:sz w:val="20"/>
          <w:szCs w:val="20"/>
          <w:lang w:eastAsia="en-GB"/>
        </w:rPr>
        <w:t>ter of Apprenticeship Training P</w:t>
      </w:r>
      <w:r w:rsidRPr="00260DE7">
        <w:rPr>
          <w:rFonts w:ascii="Arial" w:eastAsia="Times New Roman" w:hAnsi="Arial" w:cs="Arial"/>
          <w:color w:val="000000"/>
          <w:sz w:val="20"/>
          <w:szCs w:val="20"/>
          <w:lang w:eastAsia="en-GB"/>
        </w:rPr>
        <w:t>roviders was launched and we would therefore question whether Ofsted now has the resource to be able to inspect and monitor delivery of all provision</w:t>
      </w:r>
      <w:r w:rsidR="00DA2D6C" w:rsidRPr="00260DE7">
        <w:rPr>
          <w:rFonts w:ascii="Arial" w:eastAsia="Times New Roman" w:hAnsi="Arial" w:cs="Arial"/>
          <w:color w:val="000000"/>
          <w:sz w:val="20"/>
          <w:szCs w:val="20"/>
          <w:lang w:eastAsia="en-GB"/>
        </w:rPr>
        <w:t xml:space="preserve">.  For </w:t>
      </w:r>
      <w:r w:rsidR="009F48DA" w:rsidRPr="00260DE7">
        <w:rPr>
          <w:rFonts w:ascii="Arial" w:eastAsia="Times New Roman" w:hAnsi="Arial" w:cs="Arial"/>
          <w:color w:val="000000"/>
          <w:sz w:val="20"/>
          <w:szCs w:val="20"/>
          <w:lang w:eastAsia="en-GB"/>
        </w:rPr>
        <w:t xml:space="preserve">the quality of </w:t>
      </w:r>
      <w:r w:rsidR="00DA2D6C" w:rsidRPr="00260DE7">
        <w:rPr>
          <w:rFonts w:ascii="Arial" w:eastAsia="Times New Roman" w:hAnsi="Arial" w:cs="Arial"/>
          <w:color w:val="000000"/>
          <w:sz w:val="20"/>
          <w:szCs w:val="20"/>
          <w:lang w:eastAsia="en-GB"/>
        </w:rPr>
        <w:t xml:space="preserve">apprenticeship training to </w:t>
      </w:r>
      <w:r w:rsidR="009F48DA" w:rsidRPr="00260DE7">
        <w:rPr>
          <w:rFonts w:ascii="Arial" w:eastAsia="Times New Roman" w:hAnsi="Arial" w:cs="Arial"/>
          <w:color w:val="000000"/>
          <w:sz w:val="20"/>
          <w:szCs w:val="20"/>
          <w:lang w:eastAsia="en-GB"/>
        </w:rPr>
        <w:t>be robustly inspected and monitored it is important Ofsted are resourced and funded appropriately.</w:t>
      </w:r>
    </w:p>
    <w:p w:rsidR="00C936D3" w:rsidRPr="00260DE7" w:rsidRDefault="00C936D3" w:rsidP="00795818">
      <w:pPr>
        <w:shd w:val="clear" w:color="auto" w:fill="FFFFFF"/>
        <w:spacing w:after="0" w:line="312" w:lineRule="atLeast"/>
        <w:textAlignment w:val="baseline"/>
        <w:rPr>
          <w:rFonts w:ascii="inherit" w:eastAsia="Times New Roman" w:hAnsi="inherit" w:cs="Times New Roman"/>
          <w:color w:val="000000"/>
          <w:sz w:val="20"/>
          <w:szCs w:val="20"/>
          <w:lang w:eastAsia="en-GB"/>
        </w:rPr>
      </w:pPr>
    </w:p>
    <w:p w:rsidR="00C936D3" w:rsidRPr="00260DE7" w:rsidRDefault="00C85629" w:rsidP="00795818">
      <w:pPr>
        <w:shd w:val="clear" w:color="auto" w:fill="FFFFFF"/>
        <w:spacing w:after="0" w:line="312" w:lineRule="atLeast"/>
        <w:textAlignment w:val="baseline"/>
        <w:rPr>
          <w:rFonts w:ascii="Arial" w:eastAsia="Times New Roman" w:hAnsi="Arial" w:cs="Arial"/>
          <w:color w:val="000000"/>
          <w:sz w:val="20"/>
          <w:szCs w:val="20"/>
          <w:lang w:eastAsia="en-GB"/>
        </w:rPr>
      </w:pPr>
      <w:r w:rsidRPr="00260DE7">
        <w:rPr>
          <w:rFonts w:ascii="Arial" w:eastAsia="Times New Roman" w:hAnsi="Arial" w:cs="Arial"/>
          <w:color w:val="000000"/>
          <w:sz w:val="20"/>
          <w:szCs w:val="20"/>
          <w:lang w:eastAsia="en-GB"/>
        </w:rPr>
        <w:t>E</w:t>
      </w:r>
      <w:r w:rsidR="00DA2D6C" w:rsidRPr="00260DE7">
        <w:rPr>
          <w:rFonts w:ascii="Arial" w:eastAsia="Times New Roman" w:hAnsi="Arial" w:cs="Arial"/>
          <w:color w:val="000000"/>
          <w:sz w:val="20"/>
          <w:szCs w:val="20"/>
          <w:lang w:eastAsia="en-GB"/>
        </w:rPr>
        <w:t xml:space="preserve">xternal </w:t>
      </w:r>
      <w:r w:rsidRPr="00260DE7">
        <w:rPr>
          <w:rFonts w:ascii="Arial" w:eastAsia="Times New Roman" w:hAnsi="Arial" w:cs="Arial"/>
          <w:color w:val="000000"/>
          <w:sz w:val="20"/>
          <w:szCs w:val="20"/>
          <w:lang w:eastAsia="en-GB"/>
        </w:rPr>
        <w:t>Q</w:t>
      </w:r>
      <w:r w:rsidR="00DA2D6C" w:rsidRPr="00260DE7">
        <w:rPr>
          <w:rFonts w:ascii="Arial" w:eastAsia="Times New Roman" w:hAnsi="Arial" w:cs="Arial"/>
          <w:color w:val="000000"/>
          <w:sz w:val="20"/>
          <w:szCs w:val="20"/>
          <w:lang w:eastAsia="en-GB"/>
        </w:rPr>
        <w:t xml:space="preserve">uality </w:t>
      </w:r>
      <w:r w:rsidRPr="00260DE7">
        <w:rPr>
          <w:rFonts w:ascii="Arial" w:eastAsia="Times New Roman" w:hAnsi="Arial" w:cs="Arial"/>
          <w:color w:val="000000"/>
          <w:sz w:val="20"/>
          <w:szCs w:val="20"/>
          <w:lang w:eastAsia="en-GB"/>
        </w:rPr>
        <w:t>A</w:t>
      </w:r>
      <w:r w:rsidR="00DA2D6C" w:rsidRPr="00260DE7">
        <w:rPr>
          <w:rFonts w:ascii="Arial" w:eastAsia="Times New Roman" w:hAnsi="Arial" w:cs="Arial"/>
          <w:color w:val="000000"/>
          <w:sz w:val="20"/>
          <w:szCs w:val="20"/>
          <w:lang w:eastAsia="en-GB"/>
        </w:rPr>
        <w:t>ssurance</w:t>
      </w:r>
      <w:r w:rsidRPr="00260DE7">
        <w:rPr>
          <w:rFonts w:ascii="Arial" w:eastAsia="Times New Roman" w:hAnsi="Arial" w:cs="Arial"/>
          <w:color w:val="000000"/>
          <w:sz w:val="20"/>
          <w:szCs w:val="20"/>
          <w:lang w:eastAsia="en-GB"/>
        </w:rPr>
        <w:t xml:space="preserve"> of apprenticeships is an important aspect and we welcome that </w:t>
      </w:r>
      <w:r w:rsidR="00D064BD" w:rsidRPr="00260DE7">
        <w:rPr>
          <w:rFonts w:ascii="Arial" w:eastAsia="Times New Roman" w:hAnsi="Arial" w:cs="Arial"/>
          <w:color w:val="000000"/>
          <w:sz w:val="20"/>
          <w:szCs w:val="20"/>
          <w:lang w:eastAsia="en-GB"/>
        </w:rPr>
        <w:t>Professional</w:t>
      </w:r>
      <w:r w:rsidRPr="00260DE7">
        <w:rPr>
          <w:rFonts w:ascii="Arial" w:eastAsia="Times New Roman" w:hAnsi="Arial" w:cs="Arial"/>
          <w:color w:val="000000"/>
          <w:sz w:val="20"/>
          <w:szCs w:val="20"/>
          <w:lang w:eastAsia="en-GB"/>
        </w:rPr>
        <w:t xml:space="preserve"> Bodies ar</w:t>
      </w:r>
      <w:r w:rsidR="00D064BD" w:rsidRPr="00260DE7">
        <w:rPr>
          <w:rFonts w:ascii="Arial" w:eastAsia="Times New Roman" w:hAnsi="Arial" w:cs="Arial"/>
          <w:color w:val="000000"/>
          <w:sz w:val="20"/>
          <w:szCs w:val="20"/>
          <w:lang w:eastAsia="en-GB"/>
        </w:rPr>
        <w:t>e invited to undertake this function</w:t>
      </w:r>
      <w:r w:rsidR="009F48DA" w:rsidRPr="00260DE7">
        <w:rPr>
          <w:rFonts w:ascii="Arial" w:eastAsia="Times New Roman" w:hAnsi="Arial" w:cs="Arial"/>
          <w:color w:val="000000"/>
          <w:sz w:val="20"/>
          <w:szCs w:val="20"/>
          <w:lang w:eastAsia="en-GB"/>
        </w:rPr>
        <w:t xml:space="preserve"> and are recognised for their expertise in this area</w:t>
      </w:r>
      <w:r w:rsidRPr="00260DE7">
        <w:rPr>
          <w:rFonts w:ascii="Arial" w:eastAsia="Times New Roman" w:hAnsi="Arial" w:cs="Arial"/>
          <w:color w:val="000000"/>
          <w:sz w:val="20"/>
          <w:szCs w:val="20"/>
          <w:lang w:eastAsia="en-GB"/>
        </w:rPr>
        <w:t xml:space="preserve">.  We do however believe that having several options of EQA available could lead to comparability issues across apprenticeships </w:t>
      </w:r>
      <w:r w:rsidR="00D064BD" w:rsidRPr="00260DE7">
        <w:rPr>
          <w:rFonts w:ascii="Arial" w:eastAsia="Times New Roman" w:hAnsi="Arial" w:cs="Arial"/>
          <w:color w:val="000000"/>
          <w:sz w:val="20"/>
          <w:szCs w:val="20"/>
          <w:lang w:eastAsia="en-GB"/>
        </w:rPr>
        <w:t xml:space="preserve">and question why the statutory body for </w:t>
      </w:r>
      <w:r w:rsidR="00A4289F" w:rsidRPr="00260DE7">
        <w:rPr>
          <w:rFonts w:ascii="Arial" w:eastAsia="Times New Roman" w:hAnsi="Arial" w:cs="Arial"/>
          <w:color w:val="000000"/>
          <w:sz w:val="20"/>
          <w:szCs w:val="20"/>
          <w:lang w:eastAsia="en-GB"/>
        </w:rPr>
        <w:t>quality assurance, Ofqual, was no</w:t>
      </w:r>
      <w:r w:rsidR="00D064BD" w:rsidRPr="00260DE7">
        <w:rPr>
          <w:rFonts w:ascii="Arial" w:eastAsia="Times New Roman" w:hAnsi="Arial" w:cs="Arial"/>
          <w:color w:val="000000"/>
          <w:sz w:val="20"/>
          <w:szCs w:val="20"/>
          <w:lang w:eastAsia="en-GB"/>
        </w:rPr>
        <w:t>t instructed to carry out this function</w:t>
      </w:r>
      <w:r w:rsidR="00E205FF" w:rsidRPr="00260DE7">
        <w:rPr>
          <w:rFonts w:ascii="Arial" w:eastAsia="Times New Roman" w:hAnsi="Arial" w:cs="Arial"/>
          <w:color w:val="000000"/>
          <w:sz w:val="20"/>
          <w:szCs w:val="20"/>
          <w:lang w:eastAsia="en-GB"/>
        </w:rPr>
        <w:t>.  As the P</w:t>
      </w:r>
      <w:r w:rsidR="00DA2D6C" w:rsidRPr="00260DE7">
        <w:rPr>
          <w:rFonts w:ascii="Arial" w:eastAsia="Times New Roman" w:hAnsi="Arial" w:cs="Arial"/>
          <w:color w:val="000000"/>
          <w:sz w:val="20"/>
          <w:szCs w:val="20"/>
          <w:lang w:eastAsia="en-GB"/>
        </w:rPr>
        <w:t xml:space="preserve">rofessional </w:t>
      </w:r>
      <w:r w:rsidR="00E205FF" w:rsidRPr="00260DE7">
        <w:rPr>
          <w:rFonts w:ascii="Arial" w:eastAsia="Times New Roman" w:hAnsi="Arial" w:cs="Arial"/>
          <w:color w:val="000000"/>
          <w:sz w:val="20"/>
          <w:szCs w:val="20"/>
          <w:lang w:eastAsia="en-GB"/>
        </w:rPr>
        <w:t>B</w:t>
      </w:r>
      <w:r w:rsidR="00DA2D6C" w:rsidRPr="00260DE7">
        <w:rPr>
          <w:rFonts w:ascii="Arial" w:eastAsia="Times New Roman" w:hAnsi="Arial" w:cs="Arial"/>
          <w:color w:val="000000"/>
          <w:sz w:val="20"/>
          <w:szCs w:val="20"/>
          <w:lang w:eastAsia="en-GB"/>
        </w:rPr>
        <w:t>ody</w:t>
      </w:r>
      <w:r w:rsidR="00E205FF" w:rsidRPr="00260DE7">
        <w:rPr>
          <w:rFonts w:ascii="Arial" w:eastAsia="Times New Roman" w:hAnsi="Arial" w:cs="Arial"/>
          <w:color w:val="000000"/>
          <w:sz w:val="20"/>
          <w:szCs w:val="20"/>
          <w:lang w:eastAsia="en-GB"/>
        </w:rPr>
        <w:t xml:space="preserve"> for</w:t>
      </w:r>
      <w:r w:rsidR="00DA2D6C" w:rsidRPr="00260DE7">
        <w:rPr>
          <w:rFonts w:ascii="Arial" w:eastAsia="Times New Roman" w:hAnsi="Arial" w:cs="Arial"/>
          <w:color w:val="000000"/>
          <w:sz w:val="20"/>
          <w:szCs w:val="20"/>
          <w:lang w:eastAsia="en-GB"/>
        </w:rPr>
        <w:t xml:space="preserve"> chemical sciences, we intend to </w:t>
      </w:r>
      <w:r w:rsidR="009F48DA" w:rsidRPr="00260DE7">
        <w:rPr>
          <w:rFonts w:ascii="Arial" w:eastAsia="Times New Roman" w:hAnsi="Arial" w:cs="Arial"/>
          <w:color w:val="000000"/>
          <w:sz w:val="20"/>
          <w:szCs w:val="20"/>
          <w:lang w:eastAsia="en-GB"/>
        </w:rPr>
        <w:t xml:space="preserve">form a partnership arrangement with Ofqual to undertake this function, thus utilising our industry expertise in combination </w:t>
      </w:r>
      <w:r w:rsidR="00A4289F" w:rsidRPr="00260DE7">
        <w:rPr>
          <w:rFonts w:ascii="Arial" w:eastAsia="Times New Roman" w:hAnsi="Arial" w:cs="Arial"/>
          <w:color w:val="000000"/>
          <w:sz w:val="20"/>
          <w:szCs w:val="20"/>
          <w:lang w:eastAsia="en-GB"/>
        </w:rPr>
        <w:t xml:space="preserve">with </w:t>
      </w:r>
      <w:proofErr w:type="spellStart"/>
      <w:r w:rsidR="00A4289F" w:rsidRPr="00260DE7">
        <w:rPr>
          <w:rFonts w:ascii="Arial" w:eastAsia="Times New Roman" w:hAnsi="Arial" w:cs="Arial"/>
          <w:color w:val="000000"/>
          <w:sz w:val="20"/>
          <w:szCs w:val="20"/>
          <w:lang w:eastAsia="en-GB"/>
        </w:rPr>
        <w:t>Ofqual’s</w:t>
      </w:r>
      <w:proofErr w:type="spellEnd"/>
      <w:r w:rsidR="00A4289F" w:rsidRPr="00260DE7">
        <w:rPr>
          <w:rFonts w:ascii="Arial" w:eastAsia="Times New Roman" w:hAnsi="Arial" w:cs="Arial"/>
          <w:color w:val="000000"/>
          <w:sz w:val="20"/>
          <w:szCs w:val="20"/>
          <w:lang w:eastAsia="en-GB"/>
        </w:rPr>
        <w:t xml:space="preserve"> statutory powers.</w:t>
      </w:r>
    </w:p>
    <w:p w:rsidR="00795818" w:rsidRPr="00260DE7" w:rsidRDefault="00795818" w:rsidP="00795818">
      <w:pPr>
        <w:shd w:val="clear" w:color="auto" w:fill="FFFFFF"/>
        <w:spacing w:after="0" w:line="312" w:lineRule="atLeast"/>
        <w:textAlignment w:val="baseline"/>
        <w:rPr>
          <w:rFonts w:ascii="inherit" w:eastAsia="Times New Roman" w:hAnsi="inherit" w:cs="Times New Roman"/>
          <w:color w:val="000000"/>
          <w:sz w:val="20"/>
          <w:szCs w:val="20"/>
          <w:lang w:eastAsia="en-GB"/>
        </w:rPr>
      </w:pPr>
    </w:p>
    <w:p w:rsidR="00A4309B" w:rsidRPr="00260DE7" w:rsidRDefault="00A4309B" w:rsidP="00795818">
      <w:pPr>
        <w:shd w:val="clear" w:color="auto" w:fill="FFFFFF"/>
        <w:spacing w:after="0" w:line="312" w:lineRule="atLeast"/>
        <w:textAlignment w:val="baseline"/>
        <w:rPr>
          <w:rFonts w:ascii="Arial" w:eastAsia="Times New Roman" w:hAnsi="Arial" w:cs="Arial"/>
          <w:color w:val="000000"/>
          <w:sz w:val="20"/>
          <w:szCs w:val="20"/>
          <w:lang w:eastAsia="en-GB"/>
        </w:rPr>
      </w:pPr>
      <w:r w:rsidRPr="00260DE7">
        <w:rPr>
          <w:rFonts w:ascii="Arial" w:eastAsia="Times New Roman" w:hAnsi="Arial" w:cs="Arial"/>
          <w:color w:val="000000"/>
          <w:sz w:val="20"/>
          <w:szCs w:val="20"/>
          <w:lang w:eastAsia="en-GB"/>
        </w:rPr>
        <w:lastRenderedPageBreak/>
        <w:t>Within the Institute for Apprenticeships, we do have some concerns that the route pan</w:t>
      </w:r>
      <w:r w:rsidR="00F56587" w:rsidRPr="00260DE7">
        <w:rPr>
          <w:rFonts w:ascii="Arial" w:eastAsia="Times New Roman" w:hAnsi="Arial" w:cs="Arial"/>
          <w:color w:val="000000"/>
          <w:sz w:val="20"/>
          <w:szCs w:val="20"/>
          <w:lang w:eastAsia="en-GB"/>
        </w:rPr>
        <w:t>el for health and science does no</w:t>
      </w:r>
      <w:r w:rsidRPr="00260DE7">
        <w:rPr>
          <w:rFonts w:ascii="Arial" w:eastAsia="Times New Roman" w:hAnsi="Arial" w:cs="Arial"/>
          <w:color w:val="000000"/>
          <w:sz w:val="20"/>
          <w:szCs w:val="20"/>
          <w:lang w:eastAsia="en-GB"/>
        </w:rPr>
        <w:t xml:space="preserve">t appear to have appropriate representation from science employers.  We would urge the Institute </w:t>
      </w:r>
      <w:r w:rsidR="00650F52" w:rsidRPr="00260DE7">
        <w:rPr>
          <w:rFonts w:ascii="Arial" w:eastAsia="Times New Roman" w:hAnsi="Arial" w:cs="Arial"/>
          <w:color w:val="000000"/>
          <w:sz w:val="20"/>
          <w:szCs w:val="20"/>
          <w:lang w:eastAsia="en-GB"/>
        </w:rPr>
        <w:t xml:space="preserve">to rectify this to ensure appropriate scrutiny of science apprenticeship standards </w:t>
      </w:r>
      <w:r w:rsidR="00F56587" w:rsidRPr="00260DE7">
        <w:rPr>
          <w:rFonts w:ascii="Arial" w:eastAsia="Times New Roman" w:hAnsi="Arial" w:cs="Arial"/>
          <w:color w:val="000000"/>
          <w:sz w:val="20"/>
          <w:szCs w:val="20"/>
          <w:lang w:eastAsia="en-GB"/>
        </w:rPr>
        <w:t>and assessment plans can occur.</w:t>
      </w:r>
    </w:p>
    <w:p w:rsidR="00A4309B" w:rsidRPr="00260DE7" w:rsidRDefault="00A4309B" w:rsidP="00795818">
      <w:pPr>
        <w:shd w:val="clear" w:color="auto" w:fill="FFFFFF"/>
        <w:spacing w:after="0" w:line="312" w:lineRule="atLeast"/>
        <w:textAlignment w:val="baseline"/>
        <w:rPr>
          <w:rFonts w:ascii="inherit" w:eastAsia="Times New Roman" w:hAnsi="inherit" w:cs="Times New Roman"/>
          <w:color w:val="000000"/>
          <w:sz w:val="20"/>
          <w:szCs w:val="20"/>
          <w:lang w:eastAsia="en-GB"/>
        </w:rPr>
      </w:pPr>
    </w:p>
    <w:p w:rsidR="00795818" w:rsidRPr="005E53CC" w:rsidRDefault="00795818" w:rsidP="005E53CC">
      <w:pPr>
        <w:pStyle w:val="ListParagraph"/>
        <w:numPr>
          <w:ilvl w:val="0"/>
          <w:numId w:val="6"/>
        </w:numPr>
        <w:shd w:val="clear" w:color="auto" w:fill="FFFFFF"/>
        <w:spacing w:after="0" w:line="312" w:lineRule="atLeast"/>
        <w:textAlignment w:val="baseline"/>
        <w:rPr>
          <w:rFonts w:ascii="Arial" w:eastAsia="Times New Roman" w:hAnsi="Arial" w:cs="Arial"/>
          <w:b/>
          <w:color w:val="000000"/>
          <w:sz w:val="24"/>
          <w:szCs w:val="24"/>
          <w:lang w:eastAsia="en-GB"/>
        </w:rPr>
      </w:pPr>
      <w:r w:rsidRPr="005E53CC">
        <w:rPr>
          <w:rFonts w:ascii="Arial" w:eastAsia="Times New Roman" w:hAnsi="Arial" w:cs="Arial"/>
          <w:b/>
          <w:color w:val="000000"/>
          <w:sz w:val="24"/>
          <w:szCs w:val="24"/>
          <w:lang w:eastAsia="en-GB"/>
        </w:rPr>
        <w:t>The role of the Education and Skills Funding Agency in ensuring value for money, and the imp</w:t>
      </w:r>
      <w:r w:rsidR="002172AA" w:rsidRPr="005E53CC">
        <w:rPr>
          <w:rFonts w:ascii="Arial" w:eastAsia="Times New Roman" w:hAnsi="Arial" w:cs="Arial"/>
          <w:b/>
          <w:color w:val="000000"/>
          <w:sz w:val="24"/>
          <w:szCs w:val="24"/>
          <w:lang w:eastAsia="en-GB"/>
        </w:rPr>
        <w:t>act of different funding models</w:t>
      </w:r>
    </w:p>
    <w:p w:rsidR="00795818" w:rsidRPr="00260DE7" w:rsidRDefault="00795818" w:rsidP="00795818">
      <w:pPr>
        <w:shd w:val="clear" w:color="auto" w:fill="FFFFFF"/>
        <w:spacing w:after="0" w:line="312" w:lineRule="atLeast"/>
        <w:textAlignment w:val="baseline"/>
        <w:rPr>
          <w:rFonts w:ascii="inherit" w:eastAsia="Times New Roman" w:hAnsi="inherit" w:cs="Times New Roman"/>
          <w:color w:val="000000"/>
          <w:sz w:val="20"/>
          <w:szCs w:val="20"/>
          <w:lang w:eastAsia="en-GB"/>
        </w:rPr>
      </w:pPr>
    </w:p>
    <w:p w:rsidR="00D064BD" w:rsidRPr="00260DE7" w:rsidRDefault="00D064BD" w:rsidP="00C936D3">
      <w:pPr>
        <w:spacing w:after="0" w:line="300" w:lineRule="auto"/>
        <w:rPr>
          <w:rFonts w:ascii="Arial" w:hAnsi="Arial" w:cs="Arial"/>
          <w:sz w:val="20"/>
          <w:szCs w:val="20"/>
        </w:rPr>
      </w:pPr>
      <w:r w:rsidRPr="00260DE7">
        <w:rPr>
          <w:rFonts w:ascii="Arial" w:hAnsi="Arial" w:cs="Arial"/>
          <w:sz w:val="20"/>
          <w:szCs w:val="20"/>
        </w:rPr>
        <w:t xml:space="preserve">We believe a clear indication on whether apprenticeships are successful is the impact they have upon the macro economy.  </w:t>
      </w:r>
      <w:r w:rsidR="00C936D3" w:rsidRPr="00260DE7">
        <w:rPr>
          <w:rFonts w:ascii="Arial" w:hAnsi="Arial" w:cs="Arial"/>
          <w:sz w:val="20"/>
          <w:szCs w:val="20"/>
        </w:rPr>
        <w:t xml:space="preserve">We have previously made representations that the levy risks redistributing funds from high value sectors such as STEM into other sectors.  We are consequently concerned that </w:t>
      </w:r>
      <w:r w:rsidRPr="00260DE7">
        <w:rPr>
          <w:rFonts w:ascii="Arial" w:hAnsi="Arial" w:cs="Arial"/>
          <w:sz w:val="20"/>
          <w:szCs w:val="20"/>
        </w:rPr>
        <w:t>little consideration appears to be given on the</w:t>
      </w:r>
      <w:r w:rsidR="00C936D3" w:rsidRPr="00260DE7">
        <w:rPr>
          <w:rFonts w:ascii="Arial" w:hAnsi="Arial" w:cs="Arial"/>
          <w:sz w:val="20"/>
          <w:szCs w:val="20"/>
        </w:rPr>
        <w:t xml:space="preserve"> macro-economic impact, and as such it would be possible for the</w:t>
      </w:r>
      <w:r w:rsidRPr="00260DE7">
        <w:rPr>
          <w:rFonts w:ascii="Arial" w:hAnsi="Arial" w:cs="Arial"/>
          <w:sz w:val="20"/>
          <w:szCs w:val="20"/>
        </w:rPr>
        <w:t xml:space="preserve"> published</w:t>
      </w:r>
      <w:r w:rsidR="00C936D3" w:rsidRPr="00260DE7">
        <w:rPr>
          <w:rFonts w:ascii="Arial" w:hAnsi="Arial" w:cs="Arial"/>
          <w:sz w:val="20"/>
          <w:szCs w:val="20"/>
        </w:rPr>
        <w:t xml:space="preserve"> measures to indicate success whilst actually working counter to the principles outlined in the industrial strategy.</w:t>
      </w:r>
    </w:p>
    <w:p w:rsidR="00C936D3" w:rsidRPr="00260DE7" w:rsidRDefault="00C936D3" w:rsidP="00C936D3">
      <w:pPr>
        <w:spacing w:after="0" w:line="300" w:lineRule="auto"/>
        <w:rPr>
          <w:rFonts w:ascii="Arial" w:hAnsi="Arial" w:cs="Arial"/>
          <w:sz w:val="20"/>
          <w:szCs w:val="20"/>
        </w:rPr>
      </w:pPr>
      <w:r w:rsidRPr="00260DE7">
        <w:rPr>
          <w:rFonts w:ascii="Arial" w:hAnsi="Arial" w:cs="Arial"/>
          <w:sz w:val="20"/>
          <w:szCs w:val="20"/>
        </w:rPr>
        <w:t xml:space="preserve">   </w:t>
      </w:r>
    </w:p>
    <w:p w:rsidR="00795818" w:rsidRPr="00260DE7" w:rsidRDefault="00C936D3" w:rsidP="00D064BD">
      <w:pPr>
        <w:spacing w:after="0" w:line="300" w:lineRule="auto"/>
        <w:rPr>
          <w:rFonts w:ascii="Arial" w:hAnsi="Arial" w:cs="Arial"/>
          <w:sz w:val="20"/>
          <w:szCs w:val="20"/>
        </w:rPr>
      </w:pPr>
      <w:r w:rsidRPr="00260DE7">
        <w:rPr>
          <w:rFonts w:ascii="Arial" w:hAnsi="Arial" w:cs="Arial"/>
          <w:sz w:val="20"/>
          <w:szCs w:val="20"/>
        </w:rPr>
        <w:t>It is not clear that the</w:t>
      </w:r>
      <w:r w:rsidR="00E96957" w:rsidRPr="00260DE7">
        <w:rPr>
          <w:rFonts w:ascii="Arial" w:hAnsi="Arial" w:cs="Arial"/>
          <w:sz w:val="20"/>
          <w:szCs w:val="20"/>
        </w:rPr>
        <w:t xml:space="preserve"> published</w:t>
      </w:r>
      <w:r w:rsidRPr="00260DE7">
        <w:rPr>
          <w:rFonts w:ascii="Arial" w:hAnsi="Arial" w:cs="Arial"/>
          <w:sz w:val="20"/>
          <w:szCs w:val="20"/>
        </w:rPr>
        <w:t xml:space="preserve"> measures identified will realistically enable a judgement to be made on whether apprenticeships meet the skills needs of apprentices and employers.  The number of apprenticeship starts and the number of employers engaging is valid data, but this w</w:t>
      </w:r>
      <w:r w:rsidR="00F56587" w:rsidRPr="00260DE7">
        <w:rPr>
          <w:rFonts w:ascii="Arial" w:hAnsi="Arial" w:cs="Arial"/>
          <w:sz w:val="20"/>
          <w:szCs w:val="20"/>
        </w:rPr>
        <w:t xml:space="preserve">ill </w:t>
      </w:r>
      <w:r w:rsidRPr="00260DE7">
        <w:rPr>
          <w:rFonts w:ascii="Arial" w:hAnsi="Arial" w:cs="Arial"/>
          <w:sz w:val="20"/>
          <w:szCs w:val="20"/>
        </w:rPr>
        <w:t>n</w:t>
      </w:r>
      <w:r w:rsidR="00F56587" w:rsidRPr="00260DE7">
        <w:rPr>
          <w:rFonts w:ascii="Arial" w:hAnsi="Arial" w:cs="Arial"/>
          <w:sz w:val="20"/>
          <w:szCs w:val="20"/>
        </w:rPr>
        <w:t>o</w:t>
      </w:r>
      <w:r w:rsidRPr="00260DE7">
        <w:rPr>
          <w:rFonts w:ascii="Arial" w:hAnsi="Arial" w:cs="Arial"/>
          <w:sz w:val="20"/>
          <w:szCs w:val="20"/>
        </w:rPr>
        <w:t>t necessarily reveal that apprenticeships are providing the right skills</w:t>
      </w:r>
      <w:r w:rsidR="00A4309B" w:rsidRPr="00260DE7">
        <w:rPr>
          <w:rFonts w:ascii="Arial" w:hAnsi="Arial" w:cs="Arial"/>
          <w:sz w:val="20"/>
          <w:szCs w:val="20"/>
        </w:rPr>
        <w:t xml:space="preserve"> and could overlook other variables that may be preventing employers from engaging</w:t>
      </w:r>
      <w:r w:rsidRPr="00260DE7">
        <w:rPr>
          <w:rFonts w:ascii="Arial" w:hAnsi="Arial" w:cs="Arial"/>
          <w:sz w:val="20"/>
          <w:szCs w:val="20"/>
        </w:rPr>
        <w:t xml:space="preserve">.  It should be noted that apprenticeship numbers were increasing before the reforms and yet apprenticeship frameworks were deemed to not be providing the correct skills.    </w:t>
      </w:r>
    </w:p>
    <w:p w:rsidR="00795818" w:rsidRPr="00260DE7" w:rsidRDefault="00795818" w:rsidP="00795818">
      <w:pPr>
        <w:shd w:val="clear" w:color="auto" w:fill="FFFFFF"/>
        <w:spacing w:after="0" w:line="312" w:lineRule="atLeast"/>
        <w:textAlignment w:val="baseline"/>
        <w:rPr>
          <w:rFonts w:ascii="inherit" w:eastAsia="Times New Roman" w:hAnsi="inherit" w:cs="Times New Roman"/>
          <w:color w:val="000000"/>
          <w:sz w:val="20"/>
          <w:szCs w:val="20"/>
          <w:lang w:eastAsia="en-GB"/>
        </w:rPr>
      </w:pPr>
    </w:p>
    <w:p w:rsidR="00795818" w:rsidRPr="005E53CC" w:rsidRDefault="00795818" w:rsidP="005E53CC">
      <w:pPr>
        <w:pStyle w:val="ListParagraph"/>
        <w:numPr>
          <w:ilvl w:val="0"/>
          <w:numId w:val="6"/>
        </w:numPr>
        <w:shd w:val="clear" w:color="auto" w:fill="FFFFFF"/>
        <w:spacing w:after="0" w:line="312" w:lineRule="atLeast"/>
        <w:textAlignment w:val="baseline"/>
        <w:rPr>
          <w:rFonts w:ascii="Arial" w:eastAsia="Times New Roman" w:hAnsi="Arial" w:cs="Arial"/>
          <w:b/>
          <w:color w:val="000000"/>
          <w:sz w:val="24"/>
          <w:szCs w:val="24"/>
          <w:lang w:eastAsia="en-GB"/>
        </w:rPr>
      </w:pPr>
      <w:r w:rsidRPr="005E53CC">
        <w:rPr>
          <w:rFonts w:ascii="Arial" w:eastAsia="Times New Roman" w:hAnsi="Arial" w:cs="Arial"/>
          <w:b/>
          <w:color w:val="000000"/>
          <w:sz w:val="24"/>
          <w:szCs w:val="24"/>
          <w:lang w:eastAsia="en-GB"/>
        </w:rPr>
        <w:t>Quality and oversight of training</w:t>
      </w:r>
      <w:r w:rsidR="00B16BE1" w:rsidRPr="005E53CC">
        <w:rPr>
          <w:rFonts w:ascii="Arial" w:eastAsia="Times New Roman" w:hAnsi="Arial" w:cs="Arial"/>
          <w:b/>
          <w:color w:val="000000"/>
          <w:sz w:val="24"/>
          <w:szCs w:val="24"/>
          <w:lang w:eastAsia="en-GB"/>
        </w:rPr>
        <w:t xml:space="preserve"> provided by subcontractors</w:t>
      </w:r>
    </w:p>
    <w:p w:rsidR="00795818" w:rsidRPr="00260DE7" w:rsidRDefault="00795818" w:rsidP="00795818">
      <w:pPr>
        <w:shd w:val="clear" w:color="auto" w:fill="FFFFFF"/>
        <w:spacing w:after="0" w:line="312" w:lineRule="atLeast"/>
        <w:textAlignment w:val="baseline"/>
        <w:rPr>
          <w:rFonts w:ascii="inherit" w:eastAsia="Times New Roman" w:hAnsi="inherit" w:cs="Times New Roman"/>
          <w:color w:val="000000"/>
          <w:sz w:val="20"/>
          <w:szCs w:val="20"/>
          <w:lang w:eastAsia="en-GB"/>
        </w:rPr>
      </w:pPr>
    </w:p>
    <w:p w:rsidR="00E205FF" w:rsidRDefault="00E96957" w:rsidP="00260DE7">
      <w:pPr>
        <w:shd w:val="clear" w:color="auto" w:fill="FFFFFF"/>
        <w:spacing w:after="0" w:line="312" w:lineRule="atLeast"/>
        <w:textAlignment w:val="baseline"/>
        <w:rPr>
          <w:rFonts w:ascii="Arial" w:eastAsia="Times New Roman" w:hAnsi="Arial" w:cs="Arial"/>
          <w:color w:val="000000"/>
          <w:sz w:val="20"/>
          <w:szCs w:val="20"/>
          <w:lang w:eastAsia="en-GB"/>
        </w:rPr>
      </w:pPr>
      <w:r w:rsidRPr="00260DE7">
        <w:rPr>
          <w:rFonts w:ascii="Arial" w:eastAsia="Times New Roman" w:hAnsi="Arial" w:cs="Arial"/>
          <w:color w:val="000000"/>
          <w:sz w:val="20"/>
          <w:szCs w:val="20"/>
          <w:lang w:eastAsia="en-GB"/>
        </w:rPr>
        <w:t>We believe that s</w:t>
      </w:r>
      <w:r w:rsidR="00795818" w:rsidRPr="00260DE7">
        <w:rPr>
          <w:rFonts w:ascii="Arial" w:eastAsia="Times New Roman" w:hAnsi="Arial" w:cs="Arial"/>
          <w:color w:val="000000"/>
          <w:sz w:val="20"/>
          <w:szCs w:val="20"/>
          <w:lang w:eastAsia="en-GB"/>
        </w:rPr>
        <w:t>ubcontractors should be under the same scrutiny as prime contract holders</w:t>
      </w:r>
      <w:r w:rsidRPr="00260DE7">
        <w:rPr>
          <w:rFonts w:ascii="Arial" w:eastAsia="Times New Roman" w:hAnsi="Arial" w:cs="Arial"/>
          <w:color w:val="000000"/>
          <w:sz w:val="20"/>
          <w:szCs w:val="20"/>
          <w:lang w:eastAsia="en-GB"/>
        </w:rPr>
        <w:t>, and conseq</w:t>
      </w:r>
      <w:r w:rsidR="00F56587" w:rsidRPr="00260DE7">
        <w:rPr>
          <w:rFonts w:ascii="Arial" w:eastAsia="Times New Roman" w:hAnsi="Arial" w:cs="Arial"/>
          <w:color w:val="000000"/>
          <w:sz w:val="20"/>
          <w:szCs w:val="20"/>
          <w:lang w:eastAsia="en-GB"/>
        </w:rPr>
        <w:t>uently we believe there should no</w:t>
      </w:r>
      <w:r w:rsidRPr="00260DE7">
        <w:rPr>
          <w:rFonts w:ascii="Arial" w:eastAsia="Times New Roman" w:hAnsi="Arial" w:cs="Arial"/>
          <w:color w:val="000000"/>
          <w:sz w:val="20"/>
          <w:szCs w:val="20"/>
          <w:lang w:eastAsia="en-GB"/>
        </w:rPr>
        <w:t>t be any differences in approach between overseeing the training delivery of</w:t>
      </w:r>
      <w:r w:rsidR="00F56587" w:rsidRPr="00260DE7">
        <w:rPr>
          <w:rFonts w:ascii="Arial" w:eastAsia="Times New Roman" w:hAnsi="Arial" w:cs="Arial"/>
          <w:color w:val="000000"/>
          <w:sz w:val="20"/>
          <w:szCs w:val="20"/>
          <w:lang w:eastAsia="en-GB"/>
        </w:rPr>
        <w:t xml:space="preserve"> prime and sub-contract holders.</w:t>
      </w:r>
      <w:r w:rsidRPr="00260DE7">
        <w:rPr>
          <w:rFonts w:ascii="Arial" w:eastAsia="Times New Roman" w:hAnsi="Arial" w:cs="Arial"/>
          <w:color w:val="000000"/>
          <w:sz w:val="20"/>
          <w:szCs w:val="20"/>
          <w:lang w:eastAsia="en-GB"/>
        </w:rPr>
        <w:t xml:space="preserve"> </w:t>
      </w:r>
    </w:p>
    <w:p w:rsidR="00260DE7" w:rsidRPr="00260DE7" w:rsidRDefault="00260DE7" w:rsidP="00260DE7">
      <w:pPr>
        <w:shd w:val="clear" w:color="auto" w:fill="FFFFFF"/>
        <w:spacing w:after="0" w:line="312" w:lineRule="atLeast"/>
        <w:textAlignment w:val="baseline"/>
        <w:rPr>
          <w:rFonts w:ascii="Arial" w:eastAsia="Times New Roman" w:hAnsi="Arial" w:cs="Arial"/>
          <w:color w:val="000000"/>
          <w:sz w:val="20"/>
          <w:szCs w:val="20"/>
          <w:lang w:eastAsia="en-GB"/>
        </w:rPr>
      </w:pPr>
      <w:bookmarkStart w:id="0" w:name="_GoBack"/>
      <w:bookmarkEnd w:id="0"/>
    </w:p>
    <w:p w:rsidR="00260DE7" w:rsidRDefault="00260DE7">
      <w:pPr>
        <w:rPr>
          <w:rFonts w:ascii="Arial" w:hAnsi="Arial" w:cs="Arial"/>
          <w:b/>
          <w:sz w:val="24"/>
          <w:szCs w:val="24"/>
        </w:rPr>
      </w:pPr>
      <w:r>
        <w:rPr>
          <w:rFonts w:ascii="Arial" w:hAnsi="Arial" w:cs="Arial"/>
          <w:b/>
          <w:sz w:val="24"/>
          <w:szCs w:val="24"/>
        </w:rPr>
        <w:br w:type="page"/>
      </w:r>
    </w:p>
    <w:p w:rsidR="00B16BE1" w:rsidRPr="005E53CC" w:rsidRDefault="00B16BE1" w:rsidP="005E53CC">
      <w:pPr>
        <w:pStyle w:val="ListParagraph"/>
        <w:numPr>
          <w:ilvl w:val="0"/>
          <w:numId w:val="6"/>
        </w:numPr>
        <w:spacing w:after="0" w:line="300" w:lineRule="auto"/>
        <w:rPr>
          <w:rFonts w:ascii="Arial" w:hAnsi="Arial" w:cs="Arial"/>
          <w:b/>
          <w:sz w:val="24"/>
          <w:szCs w:val="24"/>
        </w:rPr>
      </w:pPr>
      <w:r w:rsidRPr="005E53CC">
        <w:rPr>
          <w:rFonts w:ascii="Arial" w:hAnsi="Arial" w:cs="Arial"/>
          <w:b/>
          <w:sz w:val="24"/>
          <w:szCs w:val="24"/>
        </w:rPr>
        <w:t>About the Royal Society of Chemistry</w:t>
      </w:r>
    </w:p>
    <w:p w:rsidR="00B16BE1" w:rsidRPr="000670E1" w:rsidRDefault="00B16BE1" w:rsidP="00B16BE1">
      <w:pPr>
        <w:spacing w:after="0" w:line="300" w:lineRule="auto"/>
        <w:rPr>
          <w:rFonts w:ascii="Arial" w:hAnsi="Arial" w:cs="Arial"/>
          <w:b/>
          <w:sz w:val="20"/>
          <w:szCs w:val="20"/>
        </w:rPr>
      </w:pPr>
    </w:p>
    <w:p w:rsidR="00B16BE1" w:rsidRPr="001E4134" w:rsidRDefault="00B16BE1" w:rsidP="00B16BE1">
      <w:pPr>
        <w:spacing w:after="0" w:line="300" w:lineRule="auto"/>
        <w:rPr>
          <w:rFonts w:ascii="Arial" w:hAnsi="Arial" w:cs="Arial"/>
          <w:sz w:val="20"/>
          <w:szCs w:val="20"/>
        </w:rPr>
      </w:pPr>
      <w:r w:rsidRPr="001E4134">
        <w:rPr>
          <w:rFonts w:ascii="Arial" w:hAnsi="Arial" w:cs="Arial"/>
          <w:sz w:val="20"/>
          <w:szCs w:val="20"/>
        </w:rPr>
        <w:t>With over 50,000 members and a knowledge business that spans the globe, the Royal Society of Chemistry is the UK’s professional body for chemical scientists, supporting and representing our members and bringing together chemical scientists from all over the world.</w:t>
      </w:r>
    </w:p>
    <w:p w:rsidR="00B16BE1" w:rsidRPr="001E4134" w:rsidRDefault="00B16BE1" w:rsidP="00B16BE1">
      <w:pPr>
        <w:spacing w:after="0" w:line="300" w:lineRule="auto"/>
        <w:rPr>
          <w:rFonts w:ascii="Arial" w:hAnsi="Arial" w:cs="Arial"/>
          <w:sz w:val="20"/>
          <w:szCs w:val="20"/>
        </w:rPr>
      </w:pPr>
    </w:p>
    <w:p w:rsidR="00B16BE1" w:rsidRPr="001E4134" w:rsidRDefault="00B16BE1" w:rsidP="00B16BE1">
      <w:pPr>
        <w:spacing w:after="0" w:line="300" w:lineRule="auto"/>
        <w:rPr>
          <w:rFonts w:ascii="Arial" w:hAnsi="Arial" w:cs="Arial"/>
          <w:sz w:val="20"/>
          <w:szCs w:val="20"/>
        </w:rPr>
      </w:pPr>
      <w:r w:rsidRPr="001E4134">
        <w:rPr>
          <w:rFonts w:ascii="Arial" w:hAnsi="Arial" w:cs="Arial"/>
          <w:sz w:val="20"/>
          <w:szCs w:val="20"/>
        </w:rPr>
        <w:t>A not-for-profit organisation with 175 years of history, we invest in educating future generations of scientists, we raise and maintain standards and work with industry and academia to promote collaboration and innovation. We advise governments on policy and we promote the talent, information and ideas that lead to great advances in science.</w:t>
      </w:r>
      <w:r>
        <w:rPr>
          <w:rFonts w:ascii="Arial" w:hAnsi="Arial" w:cs="Arial"/>
          <w:sz w:val="20"/>
          <w:szCs w:val="20"/>
        </w:rPr>
        <w:t xml:space="preserve"> </w:t>
      </w:r>
    </w:p>
    <w:p w:rsidR="0074483B" w:rsidRDefault="0074483B" w:rsidP="0074483B">
      <w:pPr>
        <w:jc w:val="center"/>
        <w:rPr>
          <w:b/>
        </w:rPr>
      </w:pPr>
    </w:p>
    <w:p w:rsidR="00B664F7" w:rsidRPr="0074483B" w:rsidRDefault="00B664F7" w:rsidP="0074483B">
      <w:pPr>
        <w:jc w:val="center"/>
        <w:rPr>
          <w:b/>
        </w:rPr>
      </w:pPr>
      <w:r>
        <w:rPr>
          <w:b/>
        </w:rPr>
        <w:tab/>
      </w:r>
      <w:r>
        <w:rPr>
          <w:b/>
        </w:rPr>
        <w:tab/>
      </w:r>
      <w:r>
        <w:rPr>
          <w:b/>
        </w:rPr>
        <w:tab/>
      </w:r>
      <w:r>
        <w:rPr>
          <w:b/>
        </w:rPr>
        <w:tab/>
      </w:r>
    </w:p>
    <w:sectPr w:rsidR="00B664F7" w:rsidRPr="007448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3DE" w:rsidRDefault="005E03DE" w:rsidP="005E03DE">
      <w:pPr>
        <w:spacing w:after="0" w:line="240" w:lineRule="auto"/>
      </w:pPr>
      <w:r>
        <w:separator/>
      </w:r>
    </w:p>
  </w:endnote>
  <w:endnote w:type="continuationSeparator" w:id="0">
    <w:p w:rsidR="005E03DE" w:rsidRDefault="005E03DE" w:rsidP="005E0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3DE" w:rsidRDefault="005E03DE" w:rsidP="005E03DE">
      <w:pPr>
        <w:spacing w:after="0" w:line="240" w:lineRule="auto"/>
      </w:pPr>
      <w:r>
        <w:separator/>
      </w:r>
    </w:p>
  </w:footnote>
  <w:footnote w:type="continuationSeparator" w:id="0">
    <w:p w:rsidR="005E03DE" w:rsidRDefault="005E03DE" w:rsidP="005E0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A0D"/>
    <w:multiLevelType w:val="hybridMultilevel"/>
    <w:tmpl w:val="55C018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B064C"/>
    <w:multiLevelType w:val="hybridMultilevel"/>
    <w:tmpl w:val="8F149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5D66F5"/>
    <w:multiLevelType w:val="multilevel"/>
    <w:tmpl w:val="16FA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10CE8"/>
    <w:multiLevelType w:val="hybridMultilevel"/>
    <w:tmpl w:val="7FD0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67608"/>
    <w:multiLevelType w:val="hybridMultilevel"/>
    <w:tmpl w:val="5A725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9F74EA"/>
    <w:multiLevelType w:val="hybridMultilevel"/>
    <w:tmpl w:val="799CE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18"/>
    <w:rsid w:val="002172AA"/>
    <w:rsid w:val="00260DE7"/>
    <w:rsid w:val="002B424A"/>
    <w:rsid w:val="005D7C88"/>
    <w:rsid w:val="005E03DE"/>
    <w:rsid w:val="005E53CC"/>
    <w:rsid w:val="00650F52"/>
    <w:rsid w:val="00704257"/>
    <w:rsid w:val="0074483B"/>
    <w:rsid w:val="00795818"/>
    <w:rsid w:val="009F48DA"/>
    <w:rsid w:val="009F5ACC"/>
    <w:rsid w:val="00A4289F"/>
    <w:rsid w:val="00A4309B"/>
    <w:rsid w:val="00A46D5E"/>
    <w:rsid w:val="00B16BE1"/>
    <w:rsid w:val="00B664F7"/>
    <w:rsid w:val="00C02FBC"/>
    <w:rsid w:val="00C85629"/>
    <w:rsid w:val="00C936D3"/>
    <w:rsid w:val="00D064BD"/>
    <w:rsid w:val="00DA2D6C"/>
    <w:rsid w:val="00E205FF"/>
    <w:rsid w:val="00E26A5C"/>
    <w:rsid w:val="00E96957"/>
    <w:rsid w:val="00F56587"/>
    <w:rsid w:val="00F67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08C62"/>
  <w15:chartTrackingRefBased/>
  <w15:docId w15:val="{32884730-8DC9-4E94-8508-D38BB2E8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83B"/>
    <w:pPr>
      <w:ind w:left="720"/>
      <w:contextualSpacing/>
    </w:pPr>
  </w:style>
  <w:style w:type="paragraph" w:styleId="Header">
    <w:name w:val="header"/>
    <w:basedOn w:val="Normal"/>
    <w:link w:val="HeaderChar"/>
    <w:uiPriority w:val="99"/>
    <w:unhideWhenUsed/>
    <w:rsid w:val="005E0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3DE"/>
  </w:style>
  <w:style w:type="paragraph" w:styleId="Footer">
    <w:name w:val="footer"/>
    <w:basedOn w:val="Normal"/>
    <w:link w:val="FooterChar"/>
    <w:uiPriority w:val="99"/>
    <w:unhideWhenUsed/>
    <w:rsid w:val="005E0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31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Royal Society of Chemistry</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Holliday</dc:creator>
  <cp:keywords/>
  <dc:description/>
  <cp:lastModifiedBy>Richard Holliday</cp:lastModifiedBy>
  <cp:revision>2</cp:revision>
  <dcterms:created xsi:type="dcterms:W3CDTF">2018-01-04T14:55:00Z</dcterms:created>
  <dcterms:modified xsi:type="dcterms:W3CDTF">2018-01-04T14:55:00Z</dcterms:modified>
</cp:coreProperties>
</file>