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403D" w:rsidRPr="006B0787" w:rsidRDefault="008A403D" w:rsidP="008A403D">
      <w:pPr>
        <w:pStyle w:val="RSCI04CaptiontoFigureSchemeChart"/>
        <w:rPr>
          <w:rFonts w:cs="Times New Roman"/>
          <w:w w:val="108"/>
          <w:sz w:val="18"/>
          <w:lang w:val="en-CA"/>
        </w:rPr>
      </w:pPr>
      <w:r w:rsidRPr="006B0787">
        <w:rPr>
          <w:rFonts w:cs="Times New Roman"/>
          <w:w w:val="108"/>
          <w:sz w:val="18"/>
          <w:lang w:val="en-CA"/>
        </w:rPr>
        <w:t xml:space="preserve">Table </w:t>
      </w:r>
      <w:r w:rsidR="001273E5">
        <w:rPr>
          <w:rFonts w:cs="Times New Roman"/>
          <w:w w:val="108"/>
          <w:sz w:val="18"/>
          <w:lang w:val="en-CA"/>
        </w:rPr>
        <w:t>B1</w:t>
      </w:r>
      <w:bookmarkStart w:id="0" w:name="_GoBack"/>
      <w:bookmarkEnd w:id="0"/>
      <w:r w:rsidRPr="006B0787">
        <w:rPr>
          <w:rFonts w:cs="Times New Roman"/>
          <w:w w:val="108"/>
          <w:sz w:val="18"/>
          <w:lang w:val="en-CA"/>
        </w:rPr>
        <w:t>: Examples of Idea Units</w:t>
      </w:r>
    </w:p>
    <w:tbl>
      <w:tblPr>
        <w:tblStyle w:val="TableGrid"/>
        <w:tblW w:w="0" w:type="auto"/>
        <w:tblLook w:val="04A0" w:firstRow="1" w:lastRow="0" w:firstColumn="1" w:lastColumn="0" w:noHBand="0" w:noVBand="1"/>
      </w:tblPr>
      <w:tblGrid>
        <w:gridCol w:w="1980"/>
        <w:gridCol w:w="2410"/>
        <w:gridCol w:w="2551"/>
        <w:gridCol w:w="2409"/>
      </w:tblGrid>
      <w:tr w:rsidR="008A403D" w:rsidRPr="006B0787" w:rsidTr="00AE45D8">
        <w:tc>
          <w:tcPr>
            <w:tcW w:w="1980" w:type="dxa"/>
          </w:tcPr>
          <w:p w:rsidR="008A403D" w:rsidRPr="006B0787" w:rsidRDefault="008A403D" w:rsidP="00AE45D8">
            <w:pPr>
              <w:pStyle w:val="RSCI04CaptiontoFigureSchemeChart"/>
              <w:rPr>
                <w:rFonts w:cs="Times New Roman"/>
                <w:w w:val="108"/>
                <w:sz w:val="18"/>
                <w:lang w:val="en-CA"/>
              </w:rPr>
            </w:pPr>
            <w:r w:rsidRPr="006B0787">
              <w:rPr>
                <w:rFonts w:cs="Times New Roman"/>
                <w:w w:val="108"/>
                <w:sz w:val="18"/>
                <w:lang w:val="en-CA"/>
              </w:rPr>
              <w:t>Classification</w:t>
            </w:r>
          </w:p>
        </w:tc>
        <w:tc>
          <w:tcPr>
            <w:tcW w:w="2410" w:type="dxa"/>
          </w:tcPr>
          <w:p w:rsidR="008A403D" w:rsidRPr="006B0787" w:rsidRDefault="008A403D" w:rsidP="00AE45D8">
            <w:pPr>
              <w:pStyle w:val="RSCI04CaptiontoFigureSchemeChart"/>
              <w:rPr>
                <w:rFonts w:cs="Times New Roman"/>
                <w:w w:val="108"/>
                <w:sz w:val="18"/>
                <w:lang w:val="en-CA"/>
              </w:rPr>
            </w:pPr>
            <w:r w:rsidRPr="006B0787">
              <w:rPr>
                <w:rFonts w:cs="Times New Roman"/>
                <w:w w:val="108"/>
                <w:sz w:val="18"/>
                <w:lang w:val="en-CA"/>
              </w:rPr>
              <w:t>Prototypical response</w:t>
            </w:r>
          </w:p>
        </w:tc>
        <w:tc>
          <w:tcPr>
            <w:tcW w:w="2551" w:type="dxa"/>
          </w:tcPr>
          <w:p w:rsidR="008A403D" w:rsidRPr="006B0787" w:rsidRDefault="008A403D" w:rsidP="00AE45D8">
            <w:pPr>
              <w:pStyle w:val="RSCI04CaptiontoFigureSchemeChart"/>
              <w:rPr>
                <w:rFonts w:cs="Times New Roman"/>
                <w:w w:val="108"/>
                <w:sz w:val="18"/>
                <w:lang w:val="en-CA"/>
              </w:rPr>
            </w:pPr>
            <w:r w:rsidRPr="006B0787">
              <w:rPr>
                <w:rFonts w:cs="Times New Roman"/>
                <w:w w:val="108"/>
                <w:sz w:val="18"/>
                <w:lang w:val="en-CA"/>
              </w:rPr>
              <w:t>Correct Student Example</w:t>
            </w:r>
          </w:p>
        </w:tc>
        <w:tc>
          <w:tcPr>
            <w:tcW w:w="2409" w:type="dxa"/>
          </w:tcPr>
          <w:p w:rsidR="008A403D" w:rsidRPr="006B0787" w:rsidRDefault="008A403D" w:rsidP="00AE45D8">
            <w:pPr>
              <w:pStyle w:val="RSCI04CaptiontoFigureSchemeChart"/>
              <w:rPr>
                <w:rFonts w:cs="Times New Roman"/>
                <w:w w:val="108"/>
                <w:sz w:val="18"/>
                <w:lang w:val="en-CA"/>
              </w:rPr>
            </w:pPr>
            <w:r w:rsidRPr="006B0787">
              <w:rPr>
                <w:rFonts w:cs="Times New Roman"/>
                <w:w w:val="108"/>
                <w:sz w:val="18"/>
                <w:lang w:val="en-CA"/>
              </w:rPr>
              <w:t>Incorrect Student Example</w:t>
            </w:r>
          </w:p>
        </w:tc>
      </w:tr>
      <w:tr w:rsidR="008A403D" w:rsidTr="00AE45D8">
        <w:tc>
          <w:tcPr>
            <w:tcW w:w="1980" w:type="dxa"/>
          </w:tcPr>
          <w:p w:rsidR="008A403D" w:rsidRDefault="008A403D" w:rsidP="00AE45D8">
            <w:pPr>
              <w:pStyle w:val="RSCI04CaptiontoFigureSchemeChart"/>
            </w:pPr>
            <w:r w:rsidRPr="00932C61">
              <w:rPr>
                <w:rFonts w:cs="Times New Roman"/>
                <w:w w:val="108"/>
                <w:sz w:val="18"/>
                <w:lang w:val="en-CA"/>
              </w:rPr>
              <w:t xml:space="preserve">Relating energy to the stability of the system at </w:t>
            </w:r>
            <w:r>
              <w:rPr>
                <w:rFonts w:cs="Times New Roman"/>
                <w:w w:val="108"/>
                <w:sz w:val="18"/>
                <w:lang w:val="en-CA"/>
              </w:rPr>
              <w:t>distances other than the equilibrium distance</w:t>
            </w:r>
          </w:p>
        </w:tc>
        <w:tc>
          <w:tcPr>
            <w:tcW w:w="2410" w:type="dxa"/>
          </w:tcPr>
          <w:p w:rsidR="008A403D" w:rsidRDefault="008A403D" w:rsidP="00AE45D8">
            <w:pPr>
              <w:pStyle w:val="RSCI04CaptiontoFigureSchemeChart"/>
            </w:pPr>
            <w:r w:rsidRPr="00A5404C">
              <w:rPr>
                <w:rFonts w:cs="Times New Roman"/>
                <w:w w:val="108"/>
                <w:sz w:val="18"/>
                <w:lang w:val="en-CA"/>
              </w:rPr>
              <w:t>At inter-nuclear distances shorter or greater than the equilibrium distance, potential energy increases</w:t>
            </w:r>
            <w:r>
              <w:rPr>
                <w:rFonts w:cs="Times New Roman"/>
                <w:w w:val="108"/>
                <w:sz w:val="18"/>
                <w:lang w:val="en-CA"/>
              </w:rPr>
              <w:t>, which corresponds to</w:t>
            </w:r>
            <w:r w:rsidRPr="00A5404C">
              <w:rPr>
                <w:rFonts w:cs="Times New Roman"/>
                <w:w w:val="108"/>
                <w:sz w:val="18"/>
                <w:lang w:val="en-CA"/>
              </w:rPr>
              <w:t xml:space="preserve"> a decrease in the system</w:t>
            </w:r>
            <w:r>
              <w:rPr>
                <w:rFonts w:cs="Times New Roman"/>
                <w:w w:val="108"/>
                <w:sz w:val="18"/>
                <w:lang w:val="en-CA"/>
              </w:rPr>
              <w:t>’</w:t>
            </w:r>
            <w:r w:rsidRPr="00A5404C">
              <w:rPr>
                <w:rFonts w:cs="Times New Roman"/>
                <w:w w:val="108"/>
                <w:sz w:val="18"/>
                <w:lang w:val="en-CA"/>
              </w:rPr>
              <w:t>s stability</w:t>
            </w:r>
            <w:r>
              <w:t xml:space="preserve"> </w:t>
            </w:r>
          </w:p>
        </w:tc>
        <w:tc>
          <w:tcPr>
            <w:tcW w:w="2551" w:type="dxa"/>
          </w:tcPr>
          <w:p w:rsidR="008A403D" w:rsidRPr="009D1FA3" w:rsidRDefault="008A403D" w:rsidP="00AE45D8">
            <w:pPr>
              <w:pStyle w:val="RSCI04CaptiontoFigureSchemeChart"/>
              <w:rPr>
                <w:rFonts w:cs="Times New Roman"/>
                <w:w w:val="108"/>
                <w:sz w:val="18"/>
                <w:lang w:val="en-CA"/>
              </w:rPr>
            </w:pPr>
            <w:r>
              <w:rPr>
                <w:rFonts w:cs="Times New Roman"/>
                <w:w w:val="108"/>
                <w:sz w:val="18"/>
                <w:lang w:val="en-CA"/>
              </w:rPr>
              <w:t>“</w:t>
            </w:r>
            <w:r w:rsidRPr="009D1FA3">
              <w:rPr>
                <w:rFonts w:cs="Times New Roman"/>
                <w:w w:val="108"/>
                <w:sz w:val="18"/>
                <w:lang w:val="en-CA"/>
              </w:rPr>
              <w:t>If atoms are too far or too close then the system is disturbed and the molecule is less stable thus energy is higher.</w:t>
            </w:r>
            <w:r>
              <w:rPr>
                <w:rFonts w:cs="Times New Roman"/>
                <w:w w:val="108"/>
                <w:sz w:val="18"/>
                <w:lang w:val="en-CA"/>
              </w:rPr>
              <w:t>”</w:t>
            </w:r>
          </w:p>
          <w:p w:rsidR="008A403D" w:rsidRDefault="008A403D" w:rsidP="00AE45D8"/>
        </w:tc>
        <w:tc>
          <w:tcPr>
            <w:tcW w:w="2409" w:type="dxa"/>
          </w:tcPr>
          <w:p w:rsidR="008A403D" w:rsidRDefault="008A403D" w:rsidP="00AE45D8">
            <w:pPr>
              <w:pStyle w:val="RSCI04CaptiontoFigureSchemeChart"/>
            </w:pPr>
            <w:r>
              <w:rPr>
                <w:rFonts w:cs="Times New Roman"/>
                <w:w w:val="108"/>
                <w:sz w:val="18"/>
                <w:lang w:val="en-CA"/>
              </w:rPr>
              <w:t>“</w:t>
            </w:r>
            <w:r w:rsidRPr="009D1FA3">
              <w:rPr>
                <w:rFonts w:cs="Times New Roman"/>
                <w:w w:val="108"/>
                <w:sz w:val="18"/>
                <w:lang w:val="en-CA"/>
              </w:rPr>
              <w:t>Otherwise, energy will increase as they are not stable at other distances</w:t>
            </w:r>
            <w:r>
              <w:rPr>
                <w:rFonts w:cs="Times New Roman"/>
                <w:w w:val="108"/>
                <w:sz w:val="18"/>
                <w:lang w:val="en-CA"/>
              </w:rPr>
              <w:t>”</w:t>
            </w:r>
          </w:p>
        </w:tc>
      </w:tr>
      <w:tr w:rsidR="008A403D" w:rsidTr="00AE45D8">
        <w:tc>
          <w:tcPr>
            <w:tcW w:w="1980" w:type="dxa"/>
          </w:tcPr>
          <w:p w:rsidR="008A403D" w:rsidRDefault="008A403D" w:rsidP="00AE45D8">
            <w:r w:rsidRPr="00C72F1D">
              <w:rPr>
                <w:rFonts w:cs="Times New Roman"/>
                <w:bCs/>
                <w:w w:val="108"/>
                <w:sz w:val="18"/>
                <w:szCs w:val="18"/>
              </w:rPr>
              <w:t>Explaining the energy minimum</w:t>
            </w:r>
          </w:p>
        </w:tc>
        <w:tc>
          <w:tcPr>
            <w:tcW w:w="2410" w:type="dxa"/>
          </w:tcPr>
          <w:p w:rsidR="008A403D" w:rsidRDefault="008A403D" w:rsidP="00AE45D8">
            <w:r w:rsidRPr="006B029D">
              <w:rPr>
                <w:rFonts w:cs="Times New Roman"/>
                <w:bCs/>
                <w:w w:val="108"/>
                <w:sz w:val="18"/>
                <w:szCs w:val="18"/>
              </w:rPr>
              <w:t>There exists an inter</w:t>
            </w:r>
            <w:r>
              <w:rPr>
                <w:rFonts w:cs="Times New Roman"/>
                <w:bCs/>
                <w:w w:val="108"/>
                <w:sz w:val="18"/>
                <w:szCs w:val="18"/>
              </w:rPr>
              <w:t>-</w:t>
            </w:r>
            <w:r w:rsidRPr="006B029D">
              <w:rPr>
                <w:rFonts w:cs="Times New Roman"/>
                <w:bCs/>
                <w:w w:val="108"/>
                <w:sz w:val="18"/>
                <w:szCs w:val="18"/>
              </w:rPr>
              <w:t>nuclear distance where repulsive forces and attractive forces are equivalent, and the potential energy is at its lowest</w:t>
            </w:r>
          </w:p>
        </w:tc>
        <w:tc>
          <w:tcPr>
            <w:tcW w:w="2551" w:type="dxa"/>
          </w:tcPr>
          <w:p w:rsidR="008A403D" w:rsidRPr="00172585" w:rsidRDefault="008A403D" w:rsidP="00AE45D8">
            <w:pPr>
              <w:rPr>
                <w:rFonts w:cs="Times New Roman"/>
                <w:bCs/>
                <w:w w:val="108"/>
                <w:sz w:val="18"/>
                <w:szCs w:val="18"/>
              </w:rPr>
            </w:pPr>
            <w:r w:rsidRPr="00172585">
              <w:rPr>
                <w:rFonts w:cs="Times New Roman"/>
                <w:bCs/>
                <w:w w:val="108"/>
                <w:sz w:val="18"/>
                <w:szCs w:val="18"/>
              </w:rPr>
              <w:t>The lowest energy point of the well is the point where there is equal repulsion and attraction</w:t>
            </w:r>
          </w:p>
          <w:p w:rsidR="008A403D" w:rsidRDefault="008A403D" w:rsidP="00AE45D8"/>
        </w:tc>
        <w:tc>
          <w:tcPr>
            <w:tcW w:w="2409" w:type="dxa"/>
          </w:tcPr>
          <w:p w:rsidR="008A403D" w:rsidRPr="00172585" w:rsidRDefault="008A403D" w:rsidP="00AE45D8">
            <w:pPr>
              <w:rPr>
                <w:rFonts w:cs="Times New Roman"/>
                <w:bCs/>
                <w:w w:val="108"/>
                <w:sz w:val="18"/>
                <w:szCs w:val="18"/>
              </w:rPr>
            </w:pPr>
            <w:r w:rsidRPr="00172585">
              <w:rPr>
                <w:rFonts w:cs="Times New Roman"/>
                <w:bCs/>
                <w:w w:val="108"/>
                <w:sz w:val="18"/>
                <w:szCs w:val="18"/>
              </w:rPr>
              <w:t>The lowest energy occurs when two atoms are attracted together at the optimal r</w:t>
            </w:r>
          </w:p>
          <w:p w:rsidR="008A403D" w:rsidRDefault="008A403D" w:rsidP="00AE45D8">
            <w:pPr>
              <w:jc w:val="center"/>
            </w:pPr>
          </w:p>
        </w:tc>
      </w:tr>
      <w:tr w:rsidR="008A403D" w:rsidTr="00AE45D8">
        <w:tc>
          <w:tcPr>
            <w:tcW w:w="1980" w:type="dxa"/>
          </w:tcPr>
          <w:p w:rsidR="008A403D" w:rsidRPr="00C72F1D" w:rsidRDefault="008A403D" w:rsidP="00AE45D8">
            <w:pPr>
              <w:rPr>
                <w:rFonts w:cs="Times New Roman"/>
                <w:bCs/>
                <w:w w:val="108"/>
                <w:sz w:val="18"/>
                <w:szCs w:val="18"/>
              </w:rPr>
            </w:pPr>
            <w:r>
              <w:rPr>
                <w:rFonts w:cs="Times New Roman"/>
                <w:bCs/>
                <w:w w:val="108"/>
                <w:sz w:val="18"/>
                <w:szCs w:val="18"/>
              </w:rPr>
              <w:t xml:space="preserve">Explaining the </w:t>
            </w:r>
            <w:r w:rsidRPr="00C72F1D">
              <w:rPr>
                <w:rFonts w:cs="Times New Roman"/>
                <w:bCs/>
                <w:w w:val="108"/>
                <w:sz w:val="18"/>
                <w:szCs w:val="18"/>
              </w:rPr>
              <w:t>Vertical Asymptote</w:t>
            </w:r>
          </w:p>
          <w:p w:rsidR="008A403D" w:rsidRPr="00C72F1D" w:rsidRDefault="008A403D" w:rsidP="00AE45D8">
            <w:pPr>
              <w:rPr>
                <w:rFonts w:cs="Times New Roman"/>
                <w:bCs/>
                <w:w w:val="108"/>
                <w:sz w:val="18"/>
                <w:szCs w:val="18"/>
              </w:rPr>
            </w:pPr>
          </w:p>
        </w:tc>
        <w:tc>
          <w:tcPr>
            <w:tcW w:w="2410" w:type="dxa"/>
          </w:tcPr>
          <w:p w:rsidR="008A403D" w:rsidRDefault="008A403D" w:rsidP="00AE45D8">
            <w:r w:rsidRPr="006B029D">
              <w:rPr>
                <w:rFonts w:cs="Times New Roman"/>
                <w:bCs/>
                <w:w w:val="108"/>
                <w:sz w:val="18"/>
                <w:szCs w:val="18"/>
              </w:rPr>
              <w:t xml:space="preserve">The vertical asymptote arises from nuclear repulsion, where at smaller </w:t>
            </w:r>
            <w:proofErr w:type="spellStart"/>
            <w:r w:rsidRPr="006B029D">
              <w:rPr>
                <w:rFonts w:cs="Times New Roman"/>
                <w:bCs/>
                <w:w w:val="108"/>
                <w:sz w:val="18"/>
                <w:szCs w:val="18"/>
              </w:rPr>
              <w:t>internuclear</w:t>
            </w:r>
            <w:proofErr w:type="spellEnd"/>
            <w:r w:rsidRPr="006B029D">
              <w:rPr>
                <w:rFonts w:cs="Times New Roman"/>
                <w:bCs/>
                <w:w w:val="108"/>
                <w:sz w:val="18"/>
                <w:szCs w:val="18"/>
              </w:rPr>
              <w:t xml:space="preserve"> distances, the force and resulting energy rise exponentially</w:t>
            </w:r>
          </w:p>
        </w:tc>
        <w:tc>
          <w:tcPr>
            <w:tcW w:w="2551" w:type="dxa"/>
          </w:tcPr>
          <w:p w:rsidR="008A403D" w:rsidRPr="00C72F1D" w:rsidRDefault="008A403D" w:rsidP="00AE45D8">
            <w:pPr>
              <w:rPr>
                <w:rFonts w:cs="Times New Roman"/>
                <w:bCs/>
                <w:w w:val="108"/>
                <w:sz w:val="18"/>
                <w:szCs w:val="18"/>
              </w:rPr>
            </w:pPr>
            <w:r w:rsidRPr="00C72F1D">
              <w:rPr>
                <w:rFonts w:cs="Times New Roman"/>
                <w:bCs/>
                <w:w w:val="108"/>
                <w:sz w:val="18"/>
                <w:szCs w:val="18"/>
              </w:rPr>
              <w:t>The left part of the well rises exponentially because when the nuclei are too close there is significant electronic repulsion from the inner molecular orbitals of both atom constituting the bond</w:t>
            </w:r>
          </w:p>
          <w:p w:rsidR="008A403D" w:rsidRDefault="008A403D" w:rsidP="00AE45D8"/>
        </w:tc>
        <w:tc>
          <w:tcPr>
            <w:tcW w:w="2409" w:type="dxa"/>
          </w:tcPr>
          <w:p w:rsidR="008A403D" w:rsidRPr="00C72F1D" w:rsidRDefault="008A403D" w:rsidP="00AE45D8">
            <w:pPr>
              <w:rPr>
                <w:rFonts w:cs="Times New Roman"/>
                <w:bCs/>
                <w:w w:val="108"/>
                <w:sz w:val="18"/>
                <w:szCs w:val="18"/>
              </w:rPr>
            </w:pPr>
            <w:r w:rsidRPr="00C72F1D">
              <w:rPr>
                <w:rFonts w:cs="Times New Roman"/>
                <w:bCs/>
                <w:w w:val="108"/>
                <w:sz w:val="18"/>
                <w:szCs w:val="18"/>
              </w:rPr>
              <w:t>It starts with a high energy when atoms are close together.</w:t>
            </w:r>
          </w:p>
          <w:p w:rsidR="008A403D" w:rsidRDefault="008A403D" w:rsidP="00AE45D8"/>
        </w:tc>
      </w:tr>
      <w:tr w:rsidR="008A403D" w:rsidTr="00AE45D8">
        <w:tc>
          <w:tcPr>
            <w:tcW w:w="1980" w:type="dxa"/>
          </w:tcPr>
          <w:p w:rsidR="008A403D" w:rsidRPr="00C72F1D" w:rsidRDefault="008A403D" w:rsidP="00AE45D8">
            <w:pPr>
              <w:rPr>
                <w:rFonts w:cs="Times New Roman"/>
                <w:bCs/>
                <w:w w:val="108"/>
                <w:sz w:val="18"/>
                <w:szCs w:val="18"/>
              </w:rPr>
            </w:pPr>
            <w:r>
              <w:rPr>
                <w:rFonts w:cs="Times New Roman"/>
                <w:bCs/>
                <w:w w:val="108"/>
                <w:sz w:val="18"/>
                <w:szCs w:val="18"/>
              </w:rPr>
              <w:t>Explanation of horizontal asymptote /bond b</w:t>
            </w:r>
            <w:r w:rsidRPr="00C72F1D">
              <w:rPr>
                <w:rFonts w:cs="Times New Roman"/>
                <w:bCs/>
                <w:w w:val="108"/>
                <w:sz w:val="18"/>
                <w:szCs w:val="18"/>
              </w:rPr>
              <w:t>reaking</w:t>
            </w:r>
          </w:p>
          <w:p w:rsidR="008A403D" w:rsidRPr="00C72F1D" w:rsidRDefault="008A403D" w:rsidP="00AE45D8">
            <w:pPr>
              <w:rPr>
                <w:rFonts w:cs="Times New Roman"/>
                <w:bCs/>
                <w:w w:val="108"/>
                <w:sz w:val="18"/>
                <w:szCs w:val="18"/>
              </w:rPr>
            </w:pPr>
          </w:p>
        </w:tc>
        <w:tc>
          <w:tcPr>
            <w:tcW w:w="2410" w:type="dxa"/>
          </w:tcPr>
          <w:p w:rsidR="008A403D" w:rsidRDefault="008A403D" w:rsidP="00AE45D8">
            <w:r w:rsidRPr="00687E43">
              <w:rPr>
                <w:rFonts w:cs="Times New Roman"/>
                <w:bCs/>
                <w:w w:val="108"/>
                <w:sz w:val="18"/>
                <w:szCs w:val="18"/>
              </w:rPr>
              <w:t xml:space="preserve">As the </w:t>
            </w:r>
            <w:proofErr w:type="spellStart"/>
            <w:r w:rsidRPr="00687E43">
              <w:rPr>
                <w:rFonts w:cs="Times New Roman"/>
                <w:bCs/>
                <w:w w:val="108"/>
                <w:sz w:val="18"/>
                <w:szCs w:val="18"/>
              </w:rPr>
              <w:t>internuclear</w:t>
            </w:r>
            <w:proofErr w:type="spellEnd"/>
            <w:r w:rsidRPr="00687E43">
              <w:rPr>
                <w:rFonts w:cs="Times New Roman"/>
                <w:bCs/>
                <w:w w:val="108"/>
                <w:sz w:val="18"/>
                <w:szCs w:val="18"/>
              </w:rPr>
              <w:t xml:space="preserve"> distance increases, </w:t>
            </w:r>
            <w:r>
              <w:rPr>
                <w:rFonts w:cs="Times New Roman"/>
                <w:bCs/>
                <w:w w:val="108"/>
                <w:sz w:val="18"/>
                <w:szCs w:val="18"/>
              </w:rPr>
              <w:t xml:space="preserve">the attractive force diminishes </w:t>
            </w:r>
            <w:r w:rsidRPr="00687E43">
              <w:rPr>
                <w:rFonts w:cs="Times New Roman"/>
                <w:bCs/>
                <w:w w:val="108"/>
                <w:sz w:val="18"/>
                <w:szCs w:val="18"/>
              </w:rPr>
              <w:t>the energy supplied to the bond exceeds the</w:t>
            </w:r>
            <w:r>
              <w:rPr>
                <w:rFonts w:cs="Times New Roman"/>
                <w:bCs/>
                <w:w w:val="108"/>
                <w:sz w:val="18"/>
                <w:szCs w:val="18"/>
              </w:rPr>
              <w:t xml:space="preserve"> bond</w:t>
            </w:r>
            <w:r w:rsidRPr="00687E43">
              <w:rPr>
                <w:rFonts w:cs="Times New Roman"/>
                <w:bCs/>
                <w:w w:val="108"/>
                <w:sz w:val="18"/>
                <w:szCs w:val="18"/>
              </w:rPr>
              <w:t xml:space="preserve"> dissociation energy, resulting in the bond breaking</w:t>
            </w:r>
          </w:p>
        </w:tc>
        <w:tc>
          <w:tcPr>
            <w:tcW w:w="2551" w:type="dxa"/>
          </w:tcPr>
          <w:p w:rsidR="008A403D" w:rsidRPr="00172585" w:rsidRDefault="008A403D" w:rsidP="00AE45D8">
            <w:pPr>
              <w:rPr>
                <w:rFonts w:cs="Times New Roman"/>
                <w:bCs/>
                <w:w w:val="108"/>
                <w:sz w:val="18"/>
                <w:szCs w:val="18"/>
              </w:rPr>
            </w:pPr>
            <w:r w:rsidRPr="00172585">
              <w:rPr>
                <w:rFonts w:cs="Times New Roman"/>
                <w:bCs/>
                <w:w w:val="108"/>
                <w:sz w:val="18"/>
                <w:szCs w:val="18"/>
              </w:rPr>
              <w:t>The flattening occurs when the distance is large since little interaction is possible between atoms, so the energy doesn’t change</w:t>
            </w:r>
          </w:p>
        </w:tc>
        <w:tc>
          <w:tcPr>
            <w:tcW w:w="2409" w:type="dxa"/>
          </w:tcPr>
          <w:p w:rsidR="008A403D" w:rsidRPr="00172585" w:rsidRDefault="008A403D" w:rsidP="00AE45D8">
            <w:pPr>
              <w:rPr>
                <w:rFonts w:cs="Times New Roman"/>
                <w:bCs/>
                <w:w w:val="108"/>
                <w:sz w:val="18"/>
                <w:szCs w:val="18"/>
              </w:rPr>
            </w:pPr>
            <w:r w:rsidRPr="00172585">
              <w:rPr>
                <w:rFonts w:cs="Times New Roman"/>
                <w:bCs/>
                <w:w w:val="108"/>
                <w:sz w:val="18"/>
                <w:szCs w:val="18"/>
              </w:rPr>
              <w:t>If it stretches too far away from the nucleus, it flies off (like a spring breaking)</w:t>
            </w:r>
          </w:p>
          <w:p w:rsidR="008A403D" w:rsidRDefault="008A403D" w:rsidP="00AE45D8"/>
        </w:tc>
      </w:tr>
      <w:tr w:rsidR="008A403D" w:rsidTr="00AE45D8">
        <w:tc>
          <w:tcPr>
            <w:tcW w:w="1980" w:type="dxa"/>
          </w:tcPr>
          <w:p w:rsidR="008A403D" w:rsidRPr="00C72F1D" w:rsidRDefault="008A403D" w:rsidP="00AE45D8">
            <w:pPr>
              <w:rPr>
                <w:rFonts w:cs="Times New Roman"/>
                <w:bCs/>
                <w:w w:val="108"/>
                <w:sz w:val="18"/>
                <w:szCs w:val="18"/>
              </w:rPr>
            </w:pPr>
            <w:r w:rsidRPr="00C72F1D">
              <w:rPr>
                <w:rFonts w:cs="Times New Roman"/>
                <w:bCs/>
                <w:w w:val="108"/>
                <w:sz w:val="18"/>
                <w:szCs w:val="18"/>
              </w:rPr>
              <w:t>Statements on overall well</w:t>
            </w:r>
            <w:r>
              <w:rPr>
                <w:rFonts w:cs="Times New Roman"/>
                <w:bCs/>
                <w:w w:val="108"/>
                <w:sz w:val="18"/>
                <w:szCs w:val="18"/>
              </w:rPr>
              <w:t xml:space="preserve"> </w:t>
            </w:r>
            <w:r w:rsidRPr="00C72F1D">
              <w:rPr>
                <w:rFonts w:cs="Times New Roman"/>
                <w:bCs/>
                <w:w w:val="108"/>
                <w:sz w:val="18"/>
                <w:szCs w:val="18"/>
              </w:rPr>
              <w:t>shape</w:t>
            </w:r>
          </w:p>
          <w:p w:rsidR="008A403D" w:rsidRPr="00C72F1D" w:rsidRDefault="008A403D" w:rsidP="00AE45D8">
            <w:pPr>
              <w:rPr>
                <w:rFonts w:cs="Times New Roman"/>
                <w:bCs/>
                <w:w w:val="108"/>
                <w:sz w:val="18"/>
                <w:szCs w:val="18"/>
              </w:rPr>
            </w:pPr>
          </w:p>
        </w:tc>
        <w:tc>
          <w:tcPr>
            <w:tcW w:w="2410" w:type="dxa"/>
          </w:tcPr>
          <w:p w:rsidR="008A403D" w:rsidRDefault="008A403D" w:rsidP="00AE45D8">
            <w:r w:rsidRPr="00A96EC1">
              <w:rPr>
                <w:rFonts w:cs="Times New Roman"/>
                <w:bCs/>
                <w:w w:val="108"/>
                <w:sz w:val="18"/>
                <w:szCs w:val="18"/>
              </w:rPr>
              <w:t>Major contributions to the well shape are the attractive and repulsive forces acting upon the two atoms</w:t>
            </w:r>
            <w:r>
              <w:t>.</w:t>
            </w:r>
          </w:p>
        </w:tc>
        <w:tc>
          <w:tcPr>
            <w:tcW w:w="2551" w:type="dxa"/>
          </w:tcPr>
          <w:p w:rsidR="008A403D" w:rsidRDefault="008A403D" w:rsidP="00AE45D8">
            <w:r w:rsidRPr="00C72F1D">
              <w:rPr>
                <w:rFonts w:cs="Times New Roman"/>
                <w:bCs/>
                <w:w w:val="108"/>
                <w:sz w:val="18"/>
                <w:szCs w:val="18"/>
              </w:rPr>
              <w:t>The shape of the energy well results from the attractive and repulsive forces</w:t>
            </w:r>
          </w:p>
        </w:tc>
        <w:tc>
          <w:tcPr>
            <w:tcW w:w="2409" w:type="dxa"/>
          </w:tcPr>
          <w:p w:rsidR="008A403D" w:rsidRPr="00C72F1D" w:rsidRDefault="008A403D" w:rsidP="00AE45D8">
            <w:pPr>
              <w:rPr>
                <w:rFonts w:cs="Times New Roman"/>
                <w:bCs/>
                <w:w w:val="108"/>
                <w:sz w:val="18"/>
                <w:szCs w:val="18"/>
              </w:rPr>
            </w:pPr>
            <w:r w:rsidRPr="00C72F1D">
              <w:rPr>
                <w:rFonts w:cs="Times New Roman"/>
                <w:bCs/>
                <w:w w:val="108"/>
                <w:sz w:val="18"/>
                <w:szCs w:val="18"/>
              </w:rPr>
              <w:t>the shape of each molecular orbital correlates to the distance from the nucleus =&gt; the resonance of each bond</w:t>
            </w:r>
          </w:p>
          <w:p w:rsidR="008A403D" w:rsidRPr="00C72F1D" w:rsidRDefault="008A403D" w:rsidP="00AE45D8">
            <w:pPr>
              <w:rPr>
                <w:rFonts w:cs="Times New Roman"/>
                <w:bCs/>
                <w:w w:val="108"/>
                <w:sz w:val="18"/>
                <w:szCs w:val="18"/>
              </w:rPr>
            </w:pPr>
          </w:p>
        </w:tc>
      </w:tr>
      <w:tr w:rsidR="008A403D" w:rsidTr="00AE45D8">
        <w:tc>
          <w:tcPr>
            <w:tcW w:w="1980" w:type="dxa"/>
          </w:tcPr>
          <w:p w:rsidR="008A403D" w:rsidRDefault="008A403D" w:rsidP="00AE45D8">
            <w:r w:rsidRPr="00932C61">
              <w:rPr>
                <w:rFonts w:cs="Times New Roman"/>
                <w:w w:val="108"/>
                <w:sz w:val="18"/>
              </w:rPr>
              <w:t xml:space="preserve">Relating </w:t>
            </w:r>
            <w:r>
              <w:rPr>
                <w:rFonts w:cs="Times New Roman"/>
                <w:w w:val="108"/>
                <w:sz w:val="18"/>
              </w:rPr>
              <w:t>the energy of a system to the vibration of the bond and the amplitude of the oscillation</w:t>
            </w:r>
          </w:p>
        </w:tc>
        <w:tc>
          <w:tcPr>
            <w:tcW w:w="2410" w:type="dxa"/>
          </w:tcPr>
          <w:p w:rsidR="008A403D" w:rsidRDefault="008A403D" w:rsidP="00AE45D8">
            <w:r w:rsidRPr="00363082">
              <w:rPr>
                <w:rFonts w:cs="Times New Roman"/>
                <w:bCs/>
                <w:w w:val="108"/>
                <w:sz w:val="18"/>
                <w:szCs w:val="18"/>
              </w:rPr>
              <w:t xml:space="preserve">The greater the overall potential energy of the system, the higher the </w:t>
            </w:r>
            <w:r>
              <w:rPr>
                <w:rFonts w:cs="Times New Roman"/>
                <w:bCs/>
                <w:w w:val="108"/>
                <w:sz w:val="18"/>
                <w:szCs w:val="18"/>
              </w:rPr>
              <w:t xml:space="preserve">vibrational frequency of the bond. Additionally, the amplitude of bond stretching increases. </w:t>
            </w:r>
            <w:r>
              <w:t xml:space="preserve"> </w:t>
            </w:r>
          </w:p>
        </w:tc>
        <w:tc>
          <w:tcPr>
            <w:tcW w:w="2551" w:type="dxa"/>
          </w:tcPr>
          <w:p w:rsidR="008A403D" w:rsidRPr="00B613F4" w:rsidRDefault="008A403D" w:rsidP="00AE45D8">
            <w:pPr>
              <w:rPr>
                <w:rFonts w:cs="Times New Roman"/>
                <w:bCs/>
                <w:w w:val="108"/>
                <w:sz w:val="18"/>
                <w:szCs w:val="18"/>
              </w:rPr>
            </w:pPr>
            <w:r w:rsidRPr="00B613F4">
              <w:rPr>
                <w:rFonts w:cs="Times New Roman"/>
                <w:bCs/>
                <w:w w:val="108"/>
                <w:sz w:val="18"/>
                <w:szCs w:val="18"/>
              </w:rPr>
              <w:t>As you move up the well of any state, the energy of the vibration is greater and corresponds to a greater stretching of the bonds.</w:t>
            </w:r>
          </w:p>
          <w:p w:rsidR="008A403D" w:rsidRDefault="008A403D" w:rsidP="00AE45D8"/>
        </w:tc>
        <w:tc>
          <w:tcPr>
            <w:tcW w:w="2409" w:type="dxa"/>
          </w:tcPr>
          <w:p w:rsidR="008A403D" w:rsidRDefault="008A403D" w:rsidP="00AE45D8">
            <w:r w:rsidRPr="00B613F4">
              <w:rPr>
                <w:rFonts w:cs="Times New Roman"/>
                <w:bCs/>
                <w:w w:val="108"/>
                <w:sz w:val="18"/>
                <w:szCs w:val="18"/>
              </w:rPr>
              <w:t>At ground state (bottom of the well), it does not have energy to stretch the bond (spring at rest).</w:t>
            </w:r>
          </w:p>
        </w:tc>
      </w:tr>
    </w:tbl>
    <w:p w:rsidR="008A403D" w:rsidRDefault="008A403D" w:rsidP="008A403D"/>
    <w:p w:rsidR="00C010E5" w:rsidRDefault="00C010E5" w:rsidP="00C010E5">
      <w:pPr>
        <w:pStyle w:val="RSCI04CaptiontoFigureSchemeChart"/>
        <w:rPr>
          <w:rStyle w:val="RSCB02ArticleTextChar"/>
        </w:rPr>
      </w:pPr>
    </w:p>
    <w:sectPr w:rsidR="00C010E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0E5"/>
    <w:rsid w:val="001273E5"/>
    <w:rsid w:val="00486D5B"/>
    <w:rsid w:val="007E7039"/>
    <w:rsid w:val="008A403D"/>
    <w:rsid w:val="00922A02"/>
    <w:rsid w:val="00C010E5"/>
    <w:rsid w:val="00C1594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8C520"/>
  <w15:chartTrackingRefBased/>
  <w15:docId w15:val="{44867672-3142-4B6F-BCE9-B0FAFA124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10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SCB02ArticleText">
    <w:name w:val="RSC B02 Article Text"/>
    <w:basedOn w:val="Normal"/>
    <w:link w:val="RSCB02ArticleTextChar"/>
    <w:qFormat/>
    <w:rsid w:val="00C010E5"/>
    <w:pPr>
      <w:tabs>
        <w:tab w:val="left" w:pos="284"/>
      </w:tabs>
      <w:spacing w:after="0" w:line="240" w:lineRule="exact"/>
      <w:jc w:val="both"/>
    </w:pPr>
    <w:rPr>
      <w:rFonts w:cs="Times New Roman"/>
      <w:w w:val="108"/>
      <w:sz w:val="18"/>
      <w:szCs w:val="18"/>
      <w:lang w:val="en-GB"/>
    </w:rPr>
  </w:style>
  <w:style w:type="character" w:customStyle="1" w:styleId="RSCB02ArticleTextChar">
    <w:name w:val="RSC B02 Article Text Char"/>
    <w:basedOn w:val="DefaultParagraphFont"/>
    <w:link w:val="RSCB02ArticleText"/>
    <w:rsid w:val="00C010E5"/>
    <w:rPr>
      <w:rFonts w:cs="Times New Roman"/>
      <w:w w:val="108"/>
      <w:sz w:val="18"/>
      <w:szCs w:val="18"/>
      <w:lang w:val="en-GB"/>
    </w:rPr>
  </w:style>
  <w:style w:type="table" w:styleId="TableGrid">
    <w:name w:val="Table Grid"/>
    <w:basedOn w:val="TableNormal"/>
    <w:uiPriority w:val="39"/>
    <w:rsid w:val="00C010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SCI04CaptiontoFigureSchemeChart">
    <w:name w:val="RSC I04 Caption to Figure/Scheme/Chart"/>
    <w:link w:val="RSCI04CaptiontoFigureSchemeChartChar"/>
    <w:qFormat/>
    <w:rsid w:val="00C010E5"/>
    <w:pPr>
      <w:spacing w:after="200" w:line="200" w:lineRule="exact"/>
    </w:pPr>
    <w:rPr>
      <w:bCs/>
      <w:sz w:val="14"/>
      <w:szCs w:val="18"/>
      <w:lang w:val="en-GB"/>
    </w:rPr>
  </w:style>
  <w:style w:type="character" w:customStyle="1" w:styleId="RSCI04CaptiontoFigureSchemeChartChar">
    <w:name w:val="RSC I04 Caption to Figure/Scheme/Chart Char"/>
    <w:basedOn w:val="DefaultParagraphFont"/>
    <w:link w:val="RSCI04CaptiontoFigureSchemeChart"/>
    <w:rsid w:val="00C010E5"/>
    <w:rPr>
      <w:bCs/>
      <w:sz w:val="14"/>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393</Words>
  <Characters>2244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Vijay Shahani</dc:creator>
  <cp:keywords/>
  <dc:description/>
  <cp:lastModifiedBy>Vijay Shahani</cp:lastModifiedBy>
  <cp:revision>4</cp:revision>
  <dcterms:created xsi:type="dcterms:W3CDTF">2016-02-15T18:26:00Z</dcterms:created>
  <dcterms:modified xsi:type="dcterms:W3CDTF">2016-02-15T18:26:00Z</dcterms:modified>
</cp:coreProperties>
</file>