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9DA" w:rsidRPr="0015069E" w:rsidRDefault="00C749DA" w:rsidP="00C749DA">
      <w:pPr>
        <w:spacing w:line="360" w:lineRule="auto"/>
        <w:jc w:val="both"/>
        <w:rPr>
          <w:rFonts w:ascii="Arial" w:eastAsia="Times New Roman" w:hAnsi="Arial" w:cs="Arial"/>
          <w:b/>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Supplementary Figures</w:t>
      </w:r>
    </w:p>
    <w:p w:rsidR="00C749DA"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S1</w:t>
      </w:r>
      <w:r>
        <w:rPr>
          <w:rFonts w:ascii="Arial" w:eastAsia="Times New Roman" w:hAnsi="Arial" w:cs="Arial"/>
          <w:b/>
          <w:color w:val="000000"/>
          <w:sz w:val="22"/>
          <w:szCs w:val="22"/>
          <w:shd w:val="clear" w:color="auto" w:fill="FFFFFF"/>
          <w:lang w:eastAsia="zh-CN"/>
        </w:rPr>
        <w:t>.</w:t>
      </w:r>
      <w:r w:rsidRPr="0015069E">
        <w:rPr>
          <w:rFonts w:ascii="Arial" w:eastAsia="Times New Roman" w:hAnsi="Arial" w:cs="Arial"/>
          <w:b/>
          <w:color w:val="000000"/>
          <w:sz w:val="22"/>
          <w:szCs w:val="22"/>
          <w:shd w:val="clear" w:color="auto" w:fill="FFFFFF"/>
          <w:lang w:eastAsia="zh-CN"/>
        </w:rPr>
        <w:t xml:space="preserve"> The comparison of predicted and measured pharmacodynamics of bevacizumab and ABT-510 in cancer patients. </w:t>
      </w:r>
      <w:r w:rsidRPr="0015069E">
        <w:rPr>
          <w:rFonts w:ascii="Arial" w:eastAsia="Times New Roman" w:hAnsi="Arial" w:cs="Arial"/>
          <w:color w:val="000000"/>
          <w:sz w:val="22"/>
          <w:szCs w:val="22"/>
          <w:shd w:val="clear" w:color="auto" w:fill="FFFFFF"/>
          <w:lang w:eastAsia="zh-CN"/>
        </w:rPr>
        <w:t>The dots are measured data in clinical trials using bevacizumab</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fldChar w:fldCharType="begin" w:fldLock="1"/>
      </w:r>
      <w:r>
        <w:rPr>
          <w:rFonts w:ascii="Arial" w:eastAsia="Times New Roman" w:hAnsi="Arial" w:cs="Arial"/>
          <w:color w:val="000000"/>
          <w:sz w:val="22"/>
          <w:szCs w:val="22"/>
          <w:shd w:val="clear" w:color="auto" w:fill="FFFFFF"/>
          <w:lang w:eastAsia="zh-CN"/>
        </w:rPr>
        <w:instrText>ADDIN CSL_CITATION { "citationItems" : [ { "id" : "ITEM-1", "itemData" : { "ISBN" : "0732-183X (Print)\\r0732-183X (Linking)", "ISSN" : "0732-183X", "PMID" : "11157038", "abstract" : "PURPOSE: We investigated the safety and pharmacokinetics of a recombinant human monoclonal antibody to vascular endothelial growth factor (rhuMAb VEGF) in patients with cancer. PATIENTS AND METHODS: Cohorts of patients with metastatic cancer having failed prior therapy entered a phase I trial of rhuMAb VEGF administered by a 90-minute intravenous infusion at doses from 0.1 to 10.0 mg/kg on days 0, 28, 35, and 42. Patients underwent pharmacokinetic sampling on day 0 and had serum samples obtained during the subsequent 28 days. Response assessment was carried out on days 49 and 72. RESULTS: Twenty-five patients with a median Eastern Cooperative Oncology Group performance status of 0 were accrued. There were no grade III or IV adverse events definitely related to the antibody. There were three episodes of tumor-related bleeding. Infusions of rhuMAb VEGF were well tolerated without significant toxicity. Grades I and II adverse events possibly or probably related to study drug included asthenia, headache, and nausea. Pharmacokinetics revealed a linear profile with a half-life of 21 days. There were no objective responses, though 12 patients experienced stable disease over the duration of the study. CONCLUSION: rhuMAb VEGF was safely administered without dose-limiting toxicity at doses ranging up to 10 mg/kg. Multiple doses of rhuMAb VEGF were well tolerated, and pharmacokinetic studies indicate that doses of &gt; or = 0.3 mg/kg have a half-life similar to that of other humanized antibodies. Subsequent trials will explore rhuMAb VEGF alone and in combination chemotherapy.", "author" : [ { "dropping-particle" : "", "family" : "Gordon", "given" : "M S", "non-dropping-particle" : "", "parse-names" : false, "suffix" : "" }, { "dropping-particle" : "", "family" : "Margolin", "given" : "K", "non-dropping-particle" : "", "parse-names" : false, "suffix" : "" }, { "dropping-particle" : "", "family" : "Talpaz", "given" : "M", "non-dropping-particle" : "", "parse-names" : false, "suffix" : "" }, { "dropping-particle" : "", "family" : "Sledge", "given" : "G W", "non-dropping-particle" : "", "parse-names" : false, "suffix" : "" }, { "dropping-particle" : "", "family" : "Holmgren", "given" : "E", "non-dropping-particle" : "", "parse-names" : false, "suffix" : "" }, { "dropping-particle" : "", "family" : "Benjamin", "given" : "R", "non-dropping-particle" : "", "parse-names" : false, "suffix" : "" }, { "dropping-particle" : "", "family" : "Stalter", "given" : "S", "non-dropping-particle" : "", "parse-names" : false, "suffix" : "" }, { "dropping-particle" : "", "family" : "Shak", "given" : "S", "non-dropping-particle" : "", "parse-names" : false, "suffix" : "" }, { "dropping-particle" : "", "family" : "Adelman", "given" : "D", "non-dropping-particle" : "", "parse-names" : false, "suffix" : "" } ], "container-title" : "Journal of clinical oncology : official journal of the American Society of Clinical Oncology", "id" : "ITEM-1", "issue" : "3", "issued" : { "date-parts" : [ [ "2001" ] ] }, "page" : "843-850", "title" : "Phase I safety and pharmacokinetic study of recombinant human anti-vascular endothelial growth factor in patients with advanced cancer.", "type" : "article-journal", "volume" : "19" }, "uris" : [ "http://www.mendeley.com/documents/?uuid=adda1d57-5f98-48d0-abec-3a1354b46f9c" ] } ], "mendeley" : { "formattedCitation" : "(40)", "plainTextFormattedCitation" : "(40)", "previouslyFormattedCitation" : "(40)" }, "properties" : { "noteIndex" : 0 }, "schema" : "https://github.com/citation-style-language/schema/raw/master/csl-citation.json" }</w:instrText>
      </w:r>
      <w:r w:rsidRPr="0015069E">
        <w:rPr>
          <w:rFonts w:ascii="Arial" w:eastAsia="Times New Roman" w:hAnsi="Arial" w:cs="Arial"/>
          <w:color w:val="000000"/>
          <w:sz w:val="22"/>
          <w:szCs w:val="22"/>
          <w:shd w:val="clear" w:color="auto" w:fill="FFFFFF"/>
          <w:lang w:eastAsia="zh-CN"/>
        </w:rPr>
        <w:fldChar w:fldCharType="separate"/>
      </w:r>
      <w:r w:rsidRPr="000D459C">
        <w:rPr>
          <w:rFonts w:ascii="Arial" w:eastAsia="Times New Roman" w:hAnsi="Arial" w:cs="Arial"/>
          <w:noProof/>
          <w:color w:val="000000"/>
          <w:sz w:val="22"/>
          <w:szCs w:val="22"/>
          <w:shd w:val="clear" w:color="auto" w:fill="FFFFFF"/>
          <w:lang w:eastAsia="zh-CN"/>
        </w:rPr>
        <w:t>(40)</w:t>
      </w:r>
      <w:r w:rsidRPr="0015069E">
        <w:rPr>
          <w:rFonts w:ascii="Arial" w:eastAsia="Times New Roman" w:hAnsi="Arial" w:cs="Arial"/>
          <w:color w:val="000000"/>
          <w:sz w:val="22"/>
          <w:szCs w:val="22"/>
          <w:shd w:val="clear" w:color="auto" w:fill="FFFFFF"/>
          <w:lang w:eastAsia="zh-CN"/>
        </w:rPr>
        <w:fldChar w:fldCharType="end"/>
      </w:r>
      <w:r w:rsidRPr="0015069E">
        <w:rPr>
          <w:rFonts w:ascii="Arial" w:eastAsia="Times New Roman" w:hAnsi="Arial" w:cs="Arial"/>
          <w:color w:val="000000"/>
          <w:sz w:val="22"/>
          <w:szCs w:val="22"/>
          <w:shd w:val="clear" w:color="auto" w:fill="FFFFFF"/>
          <w:lang w:eastAsia="zh-CN"/>
        </w:rPr>
        <w:t xml:space="preserve"> or ABT-510</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fldChar w:fldCharType="begin" w:fldLock="1"/>
      </w:r>
      <w:r>
        <w:rPr>
          <w:rFonts w:ascii="Arial" w:eastAsia="Times New Roman" w:hAnsi="Arial" w:cs="Arial"/>
          <w:color w:val="000000"/>
          <w:sz w:val="22"/>
          <w:szCs w:val="22"/>
          <w:shd w:val="clear" w:color="auto" w:fill="FFFFFF"/>
          <w:lang w:eastAsia="zh-CN"/>
        </w:rPr>
        <w:instrText>ADDIN CSL_CITATION { "citationItems" : [ { "id" : "ITEM-1", "itemData" : { "DOI" : "10.1200/JCO.2005.05.013", "ISBN" : "0732-183X LA  - eng PT  - Journal Article", "ISSN" : "0732183X", "PMID" : "16051960", "abstract" : "PURPOSE: ABT-510 is an angiogenesis inhibitor derived from thrombospondin-1, a naturally occurring inhibitor of angiogenesis. We investigated ABT-510, which was administered subcutaneously in patients with advanced solid malignancies, to assess safety, pharmacokinetics, and serum markers of angiogenesis. PATIENTS AND METHODS: ABT-510 was administered subcutaneously as a continuous infusion (100 mg/24 h) and bolus injections (100, 200, and 260 mg once daily; 50 and 100 mg twice daily) in 28-day cycles. RESULTS: Thirty-nine patients received a total of 144 treatment cycles. Administration by continuous infusion was hampered by the onset of painful skin infiltrates at the injection site. In the bolus injection regimens, the most common toxicities observed were mild injection-site reactions and fatigue. Maximum-tolerated dose was not defined, but 260 mg was defined as the maximum clinically practical dose. ABT-510 pharmacokinetics were linear across the dosage ranges tested, and the potential therapeutic threshold (plasma concentrations &gt; 100 ng/mL &gt; 3 h/d) was achieved with all dose regimens. Median serum basic fibroblast growth factor (bFGF) levels decreased from 14.1 pg/mL (range, 0.5 to 77.7 pg/mL) at baseline to 3.2 pg/mL (range, 0.2 to 29.4 pg/mL) after 56 days of treatment (P = .003). No correlations with time on study or ABT-510 dose or exposure were observed for individual changes in bFGF. Stable disease lasting for six cycles or more was seen in six patients. CONCLUSION: ABT-510 demonstrated a favorable toxicity profile and linear and time-independent pharmacokinetics with biologically relevant plasma concentrations. The significant number of patients with prolonged stable disease and the convenient method of dosing merit further studies with this angiogenesis inhibitor.", "author" : [ { "dropping-particle" : "", "family" : "Hoekstra", "given" : "Ronald", "non-dropping-particle" : "", "parse-names" : false, "suffix" : "" }, { "dropping-particle" : "", "family" : "Vos", "given" : "Filip Y F L", "non-dropping-particle" : "de", "parse-names" : false, "suffix" : "" }, { "dropping-particle" : "", "family" : "Eskens", "given" : "Ferry A L M", "non-dropping-particle" : "", "parse-names" : false, "suffix" : "" }, { "dropping-particle" : "", "family" : "Gietema", "given" : "Jourik A.", "non-dropping-particle" : "", "parse-names" : false, "suffix" : "" }, { "dropping-particle" : "", "family" : "Gaast", "given" : "Ate", "non-dropping-particle" : "van der", "parse-names" : false, "suffix" : "" }, { "dropping-particle" : "", "family" : "Groen", "given" : "Harry J M", "non-dropping-particle" : "", "parse-names" : false, "suffix" : "" }, { "dropping-particle" : "", "family" : "Knight", "given" : "Raymond A.", "non-dropping-particle" : "", "parse-names" : false, "suffix" : "" }, { "dropping-particle" : "", "family" : "Carr", "given" : "Robert A.", "non-dropping-particle" : "", "parse-names" : false, "suffix" : "" }, { "dropping-particle" : "", "family" : "Humerickhouse", "given" : "Rod A.", "non-dropping-particle" : "", "parse-names" : false, "suffix" : "" }, { "dropping-particle" : "", "family" : "Verweij", "given" : "Jaap", "non-dropping-particle" : "", "parse-names" : false, "suffix" : "" }, { "dropping-particle" : "", "family" : "Vries", "given" : "Elisabeth G E", "non-dropping-particle" : "de", "parse-names" : false, "suffix" : "" } ], "container-title" : "Journal of Clinical Oncology", "id" : "ITEM-1", "issue" : "22", "issued" : { "date-parts" : [ [ "2005" ] ] }, "page" : "5188-5197", "title" : "Phase I safety, pharmacokinetic, and pharmacodynamic study of the thrombospondin-1-mimetic angiogenesis inhibitor ABT-510 in patients with advanced cancer", "type" : "article-journal", "volume" : "23" }, "uris" : [ "http://www.mendeley.com/documents/?uuid=a2829509-1682-4b6a-b9b3-9ba991a0190c" ] } ], "mendeley" : { "formattedCitation" : "(42)", "plainTextFormattedCitation" : "(42)", "previouslyFormattedCitation" : "(42)" }, "properties" : { "noteIndex" : 0 }, "schema" : "https://github.com/citation-style-language/schema/raw/master/csl-citation.json" }</w:instrText>
      </w:r>
      <w:r w:rsidRPr="0015069E">
        <w:rPr>
          <w:rFonts w:ascii="Arial" w:eastAsia="Times New Roman" w:hAnsi="Arial" w:cs="Arial"/>
          <w:color w:val="000000"/>
          <w:sz w:val="22"/>
          <w:szCs w:val="22"/>
          <w:shd w:val="clear" w:color="auto" w:fill="FFFFFF"/>
          <w:lang w:eastAsia="zh-CN"/>
        </w:rPr>
        <w:fldChar w:fldCharType="separate"/>
      </w:r>
      <w:r w:rsidRPr="000D459C">
        <w:rPr>
          <w:rFonts w:ascii="Arial" w:eastAsia="Times New Roman" w:hAnsi="Arial" w:cs="Arial"/>
          <w:noProof/>
          <w:color w:val="000000"/>
          <w:sz w:val="22"/>
          <w:szCs w:val="22"/>
          <w:shd w:val="clear" w:color="auto" w:fill="FFFFFF"/>
          <w:lang w:eastAsia="zh-CN"/>
        </w:rPr>
        <w:t>(42)</w:t>
      </w:r>
      <w:r w:rsidRPr="0015069E">
        <w:rPr>
          <w:rFonts w:ascii="Arial" w:eastAsia="Times New Roman" w:hAnsi="Arial" w:cs="Arial"/>
          <w:color w:val="000000"/>
          <w:sz w:val="22"/>
          <w:szCs w:val="22"/>
          <w:shd w:val="clear" w:color="auto" w:fill="FFFFFF"/>
          <w:lang w:eastAsia="zh-CN"/>
        </w:rPr>
        <w:fldChar w:fldCharType="end"/>
      </w:r>
      <w:r w:rsidRPr="0015069E">
        <w:rPr>
          <w:rFonts w:ascii="Arial" w:eastAsia="Times New Roman" w:hAnsi="Arial" w:cs="Arial"/>
          <w:color w:val="000000"/>
          <w:sz w:val="22"/>
          <w:szCs w:val="22"/>
          <w:shd w:val="clear" w:color="auto" w:fill="FFFFFF"/>
          <w:lang w:eastAsia="zh-CN"/>
        </w:rPr>
        <w:t xml:space="preserve"> as single</w:t>
      </w:r>
      <w:r>
        <w:rPr>
          <w:rFonts w:ascii="Arial" w:eastAsia="Times New Roman" w:hAnsi="Arial" w:cs="Arial"/>
          <w:color w:val="000000"/>
          <w:sz w:val="22"/>
          <w:szCs w:val="22"/>
          <w:shd w:val="clear" w:color="auto" w:fill="FFFFFF"/>
          <w:lang w:eastAsia="zh-CN"/>
        </w:rPr>
        <w:t>-</w:t>
      </w:r>
      <w:r w:rsidRPr="0015069E">
        <w:rPr>
          <w:rFonts w:ascii="Arial" w:eastAsia="Times New Roman" w:hAnsi="Arial" w:cs="Arial"/>
          <w:color w:val="000000"/>
          <w:sz w:val="22"/>
          <w:szCs w:val="22"/>
          <w:shd w:val="clear" w:color="auto" w:fill="FFFFFF"/>
          <w:lang w:eastAsia="zh-CN"/>
        </w:rPr>
        <w:t xml:space="preserve">agent treatment. The solid lines are predictions from </w:t>
      </w:r>
      <w:r>
        <w:rPr>
          <w:rFonts w:ascii="Arial" w:eastAsia="Times New Roman" w:hAnsi="Arial" w:cs="Arial"/>
          <w:color w:val="000000"/>
          <w:sz w:val="22"/>
          <w:szCs w:val="22"/>
          <w:shd w:val="clear" w:color="auto" w:fill="FFFFFF"/>
          <w:lang w:eastAsia="zh-CN"/>
        </w:rPr>
        <w:t>the whole-body systems biology</w:t>
      </w:r>
      <w:r w:rsidRPr="0015069E">
        <w:rPr>
          <w:rFonts w:ascii="Arial" w:eastAsia="Times New Roman" w:hAnsi="Arial" w:cs="Arial"/>
          <w:color w:val="000000"/>
          <w:sz w:val="22"/>
          <w:szCs w:val="22"/>
          <w:shd w:val="clear" w:color="auto" w:fill="FFFFFF"/>
          <w:lang w:eastAsia="zh-CN"/>
        </w:rPr>
        <w:t xml:space="preserve"> model.</w:t>
      </w:r>
    </w:p>
    <w:p w:rsidR="00C749DA"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5E4690" w:rsidRDefault="00C749DA" w:rsidP="00C749DA">
      <w:pPr>
        <w:spacing w:line="360" w:lineRule="auto"/>
        <w:jc w:val="both"/>
        <w:rPr>
          <w:rFonts w:ascii="Arial" w:eastAsia="Times New Roman" w:hAnsi="Arial" w:cs="Arial"/>
          <w:color w:val="000000"/>
          <w:sz w:val="22"/>
          <w:szCs w:val="22"/>
          <w:shd w:val="clear" w:color="auto" w:fill="FFFFFF"/>
          <w:lang w:eastAsia="zh-CN"/>
        </w:rPr>
      </w:pPr>
      <w:proofErr w:type="gramStart"/>
      <w:r w:rsidRPr="0015069E">
        <w:rPr>
          <w:rFonts w:ascii="Arial" w:eastAsia="Times New Roman" w:hAnsi="Arial" w:cs="Arial"/>
          <w:b/>
          <w:color w:val="000000"/>
          <w:sz w:val="22"/>
          <w:szCs w:val="22"/>
          <w:shd w:val="clear" w:color="auto" w:fill="FFFFFF"/>
          <w:lang w:eastAsia="zh-CN"/>
        </w:rPr>
        <w:t>Figure</w:t>
      </w:r>
      <w:r>
        <w:rPr>
          <w:rFonts w:ascii="Arial" w:eastAsia="Times New Roman" w:hAnsi="Arial" w:cs="Arial"/>
          <w:b/>
          <w:color w:val="000000"/>
          <w:sz w:val="22"/>
          <w:szCs w:val="22"/>
          <w:shd w:val="clear" w:color="auto" w:fill="FFFFFF"/>
          <w:lang w:eastAsia="zh-CN"/>
        </w:rPr>
        <w:t xml:space="preserve">  S2</w:t>
      </w:r>
      <w:proofErr w:type="gramEnd"/>
      <w:r>
        <w:rPr>
          <w:rFonts w:ascii="Arial" w:eastAsia="Times New Roman" w:hAnsi="Arial" w:cs="Arial"/>
          <w:b/>
          <w:color w:val="000000"/>
          <w:sz w:val="22"/>
          <w:szCs w:val="22"/>
          <w:shd w:val="clear" w:color="auto" w:fill="FFFFFF"/>
          <w:lang w:eastAsia="zh-CN"/>
        </w:rPr>
        <w:t xml:space="preserve">. The sensitivity indices of model parameters. </w:t>
      </w:r>
      <w:r>
        <w:rPr>
          <w:rFonts w:ascii="Arial" w:eastAsia="Times New Roman" w:hAnsi="Arial" w:cs="Arial"/>
          <w:color w:val="000000"/>
          <w:sz w:val="22"/>
          <w:szCs w:val="22"/>
          <w:shd w:val="clear" w:color="auto" w:fill="FFFFFF"/>
          <w:lang w:eastAsia="zh-CN"/>
        </w:rPr>
        <w:t xml:space="preserve">We report the </w:t>
      </w:r>
      <w:proofErr w:type="spellStart"/>
      <w:r>
        <w:rPr>
          <w:rFonts w:ascii="Arial" w:eastAsia="Times New Roman" w:hAnsi="Arial" w:cs="Arial"/>
          <w:color w:val="000000"/>
          <w:sz w:val="22"/>
          <w:szCs w:val="22"/>
          <w:shd w:val="clear" w:color="auto" w:fill="FFFFFF"/>
          <w:lang w:eastAsia="zh-CN"/>
        </w:rPr>
        <w:t>eFAST</w:t>
      </w:r>
      <w:proofErr w:type="spellEnd"/>
      <w:r>
        <w:rPr>
          <w:rFonts w:ascii="Arial" w:eastAsia="Times New Roman" w:hAnsi="Arial" w:cs="Arial"/>
          <w:color w:val="000000"/>
          <w:sz w:val="22"/>
          <w:szCs w:val="22"/>
          <w:shd w:val="clear" w:color="auto" w:fill="FFFFFF"/>
          <w:lang w:eastAsia="zh-CN"/>
        </w:rPr>
        <w:t xml:space="preserve"> sensitivity indices for three groups of parameters (horizontal axis): (A) receptor numbers on tumor cells (“Tumor cell”), normal and diseased endothelial cells (“Norm EC” and “Tumor EC”) and parenchymal cells in the normal compartment (“Norm Cell”, representing muscle fiber cells); (B) inter-compartmental transport rate; and (C) the kinetic parameters: </w:t>
      </w:r>
      <w:proofErr w:type="spellStart"/>
      <w:r w:rsidRPr="0003744B">
        <w:rPr>
          <w:rFonts w:ascii="Arial" w:eastAsia="Times New Roman" w:hAnsi="Arial" w:cs="Arial"/>
          <w:i/>
          <w:color w:val="000000"/>
          <w:sz w:val="22"/>
          <w:szCs w:val="22"/>
          <w:shd w:val="clear" w:color="auto" w:fill="FFFFFF"/>
          <w:lang w:eastAsia="zh-CN"/>
        </w:rPr>
        <w:t>k</w:t>
      </w:r>
      <w:r w:rsidRPr="0003744B">
        <w:rPr>
          <w:rFonts w:ascii="Arial" w:eastAsia="Times New Roman" w:hAnsi="Arial" w:cs="Arial"/>
          <w:i/>
          <w:color w:val="000000"/>
          <w:sz w:val="22"/>
          <w:szCs w:val="22"/>
          <w:shd w:val="clear" w:color="auto" w:fill="FFFFFF"/>
          <w:vertAlign w:val="subscript"/>
          <w:lang w:eastAsia="zh-CN"/>
        </w:rPr>
        <w:t>off</w:t>
      </w:r>
      <w:proofErr w:type="spellEnd"/>
      <w:r>
        <w:rPr>
          <w:rFonts w:ascii="Arial" w:eastAsia="Times New Roman" w:hAnsi="Arial" w:cs="Arial"/>
          <w:color w:val="000000"/>
          <w:sz w:val="22"/>
          <w:szCs w:val="22"/>
          <w:shd w:val="clear" w:color="auto" w:fill="FFFFFF"/>
          <w:lang w:eastAsia="zh-CN"/>
        </w:rPr>
        <w:t xml:space="preserve"> is the dissociation rate of the complex and </w:t>
      </w:r>
      <w:r w:rsidRPr="0003744B">
        <w:rPr>
          <w:rFonts w:ascii="Arial" w:eastAsia="Times New Roman" w:hAnsi="Arial" w:cs="Arial"/>
          <w:i/>
          <w:color w:val="000000"/>
          <w:sz w:val="22"/>
          <w:szCs w:val="22"/>
          <w:shd w:val="clear" w:color="auto" w:fill="FFFFFF"/>
          <w:lang w:eastAsia="zh-CN"/>
        </w:rPr>
        <w:t>k</w:t>
      </w:r>
      <w:r w:rsidRPr="0003744B">
        <w:rPr>
          <w:rFonts w:ascii="Arial" w:eastAsia="Times New Roman" w:hAnsi="Arial" w:cs="Arial"/>
          <w:i/>
          <w:color w:val="000000"/>
          <w:sz w:val="22"/>
          <w:szCs w:val="22"/>
          <w:shd w:val="clear" w:color="auto" w:fill="FFFFFF"/>
          <w:vertAlign w:val="subscript"/>
          <w:lang w:eastAsia="zh-CN"/>
        </w:rPr>
        <w:t>c</w:t>
      </w:r>
      <w:r>
        <w:rPr>
          <w:rFonts w:ascii="Arial" w:eastAsia="Times New Roman" w:hAnsi="Arial" w:cs="Arial"/>
          <w:color w:val="000000"/>
          <w:sz w:val="22"/>
          <w:szCs w:val="22"/>
          <w:shd w:val="clear" w:color="auto" w:fill="FFFFFF"/>
          <w:lang w:eastAsia="zh-CN"/>
        </w:rPr>
        <w:t xml:space="preserve"> is the coupling rate of the complex. We examined nine outputs in three compartments (vertical axis):  proMMP9:MMP3 (proMMP9 bound to MMP3), TSP1:MMP3 (TSP1 bound to MMP3), TSP1</w:t>
      </w:r>
      <w:proofErr w:type="gramStart"/>
      <w:r>
        <w:rPr>
          <w:rFonts w:ascii="Arial" w:eastAsia="Times New Roman" w:hAnsi="Arial" w:cs="Arial"/>
          <w:color w:val="000000"/>
          <w:sz w:val="22"/>
          <w:szCs w:val="22"/>
          <w:shd w:val="clear" w:color="auto" w:fill="FFFFFF"/>
          <w:lang w:eastAsia="zh-CN"/>
        </w:rPr>
        <w:t>:VEGF</w:t>
      </w:r>
      <w:proofErr w:type="gramEnd"/>
      <w:r>
        <w:rPr>
          <w:rFonts w:ascii="Arial" w:eastAsia="Times New Roman" w:hAnsi="Arial" w:cs="Arial"/>
          <w:color w:val="000000"/>
          <w:sz w:val="22"/>
          <w:szCs w:val="22"/>
          <w:shd w:val="clear" w:color="auto" w:fill="FFFFFF"/>
          <w:lang w:eastAsia="zh-CN"/>
        </w:rPr>
        <w:t xml:space="preserve"> (TSP1 bound to VEGF), proMMP9, MMP3, MMP9, TSP1, VEGF and </w:t>
      </w:r>
      <w:proofErr w:type="spellStart"/>
      <w:r>
        <w:rPr>
          <w:rFonts w:ascii="Arial" w:eastAsia="Times New Roman" w:hAnsi="Arial" w:cs="Arial"/>
          <w:color w:val="000000"/>
          <w:sz w:val="22"/>
          <w:szCs w:val="22"/>
          <w:shd w:val="clear" w:color="auto" w:fill="FFFFFF"/>
          <w:lang w:eastAsia="zh-CN"/>
        </w:rPr>
        <w:t>Angio</w:t>
      </w:r>
      <w:proofErr w:type="spellEnd"/>
      <w:r>
        <w:rPr>
          <w:rFonts w:ascii="Arial" w:eastAsia="Times New Roman" w:hAnsi="Arial" w:cs="Arial"/>
          <w:color w:val="000000"/>
          <w:sz w:val="22"/>
          <w:szCs w:val="22"/>
          <w:shd w:val="clear" w:color="auto" w:fill="FFFFFF"/>
          <w:lang w:eastAsia="zh-CN"/>
        </w:rPr>
        <w:t xml:space="preserve">-Ratio (the </w:t>
      </w:r>
      <w:proofErr w:type="spellStart"/>
      <w:r>
        <w:rPr>
          <w:rFonts w:ascii="Arial" w:eastAsia="Times New Roman" w:hAnsi="Arial" w:cs="Arial"/>
          <w:color w:val="000000"/>
          <w:sz w:val="22"/>
          <w:szCs w:val="22"/>
          <w:shd w:val="clear" w:color="auto" w:fill="FFFFFF"/>
          <w:lang w:eastAsia="zh-CN"/>
        </w:rPr>
        <w:t>angiogenic</w:t>
      </w:r>
      <w:proofErr w:type="spellEnd"/>
      <w:r>
        <w:rPr>
          <w:rFonts w:ascii="Arial" w:eastAsia="Times New Roman" w:hAnsi="Arial" w:cs="Arial"/>
          <w:color w:val="000000"/>
          <w:sz w:val="22"/>
          <w:szCs w:val="22"/>
          <w:shd w:val="clear" w:color="auto" w:fill="FFFFFF"/>
          <w:lang w:eastAsia="zh-CN"/>
        </w:rPr>
        <w:t xml:space="preserve"> ratio). </w:t>
      </w: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3A02BD"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w:t>
      </w:r>
      <w:r>
        <w:rPr>
          <w:rFonts w:ascii="Arial" w:eastAsia="Times New Roman" w:hAnsi="Arial" w:cs="Arial"/>
          <w:b/>
          <w:color w:val="000000"/>
          <w:sz w:val="22"/>
          <w:szCs w:val="22"/>
          <w:shd w:val="clear" w:color="auto" w:fill="FFFFFF"/>
          <w:lang w:eastAsia="zh-CN"/>
        </w:rPr>
        <w:t>3.</w:t>
      </w:r>
      <w:r w:rsidRPr="0015069E">
        <w:rPr>
          <w:rFonts w:ascii="Arial" w:eastAsia="Times New Roman" w:hAnsi="Arial" w:cs="Arial"/>
          <w:b/>
          <w:color w:val="000000"/>
          <w:sz w:val="22"/>
          <w:szCs w:val="22"/>
          <w:shd w:val="clear" w:color="auto" w:fill="FFFFFF"/>
          <w:lang w:eastAsia="zh-CN"/>
        </w:rPr>
        <w:t xml:space="preserve"> The effect of anti-angiogenic therapy on </w:t>
      </w:r>
      <w:proofErr w:type="spellStart"/>
      <w:r w:rsidRPr="0015069E">
        <w:rPr>
          <w:rFonts w:ascii="Arial" w:eastAsia="Times New Roman" w:hAnsi="Arial" w:cs="Arial"/>
          <w:b/>
          <w:color w:val="000000"/>
          <w:sz w:val="22"/>
          <w:szCs w:val="22"/>
          <w:shd w:val="clear" w:color="auto" w:fill="FFFFFF"/>
          <w:lang w:eastAsia="zh-CN"/>
        </w:rPr>
        <w:t>angiogenic</w:t>
      </w:r>
      <w:proofErr w:type="spellEnd"/>
      <w:r w:rsidRPr="0015069E">
        <w:rPr>
          <w:rFonts w:ascii="Arial" w:eastAsia="Times New Roman" w:hAnsi="Arial" w:cs="Arial"/>
          <w:b/>
          <w:color w:val="000000"/>
          <w:sz w:val="22"/>
          <w:szCs w:val="22"/>
          <w:shd w:val="clear" w:color="auto" w:fill="FFFFFF"/>
          <w:lang w:eastAsia="zh-CN"/>
        </w:rPr>
        <w:t xml:space="preserve"> complexes in tumor. </w:t>
      </w:r>
      <w:r w:rsidRPr="0015069E">
        <w:rPr>
          <w:rFonts w:ascii="Arial" w:eastAsia="Times New Roman" w:hAnsi="Arial" w:cs="Arial"/>
          <w:color w:val="000000"/>
          <w:sz w:val="22"/>
          <w:szCs w:val="22"/>
          <w:shd w:val="clear" w:color="auto" w:fill="FFFFFF"/>
          <w:lang w:eastAsia="zh-CN"/>
        </w:rPr>
        <w:t xml:space="preserve"> The left panel shows the changes of absolute concentrations</w:t>
      </w:r>
      <w:r>
        <w:rPr>
          <w:rFonts w:ascii="Arial" w:eastAsia="Times New Roman" w:hAnsi="Arial" w:cs="Arial"/>
          <w:color w:val="000000"/>
          <w:sz w:val="22"/>
          <w:szCs w:val="22"/>
          <w:shd w:val="clear" w:color="auto" w:fill="FFFFFF"/>
          <w:lang w:eastAsia="zh-CN"/>
        </w:rPr>
        <w:t xml:space="preserve"> of the </w:t>
      </w:r>
      <w:proofErr w:type="spellStart"/>
      <w:r>
        <w:rPr>
          <w:rFonts w:ascii="Arial" w:eastAsia="Times New Roman" w:hAnsi="Arial" w:cs="Arial"/>
          <w:color w:val="000000"/>
          <w:sz w:val="22"/>
          <w:szCs w:val="22"/>
          <w:shd w:val="clear" w:color="auto" w:fill="FFFFFF"/>
          <w:lang w:eastAsia="zh-CN"/>
        </w:rPr>
        <w:t>angiogenic</w:t>
      </w:r>
      <w:proofErr w:type="spellEnd"/>
      <w:r>
        <w:rPr>
          <w:rFonts w:ascii="Arial" w:eastAsia="Times New Roman" w:hAnsi="Arial" w:cs="Arial"/>
          <w:color w:val="000000"/>
          <w:sz w:val="22"/>
          <w:szCs w:val="22"/>
          <w:shd w:val="clear" w:color="auto" w:fill="FFFFFF"/>
          <w:lang w:eastAsia="zh-CN"/>
        </w:rPr>
        <w:t xml:space="preserve"> complexes</w:t>
      </w:r>
      <w:r w:rsidRPr="0015069E">
        <w:rPr>
          <w:rFonts w:ascii="Arial" w:eastAsia="Times New Roman" w:hAnsi="Arial" w:cs="Arial"/>
          <w:color w:val="000000"/>
          <w:sz w:val="22"/>
          <w:szCs w:val="22"/>
          <w:shd w:val="clear" w:color="auto" w:fill="FFFFFF"/>
          <w:lang w:eastAsia="zh-CN"/>
        </w:rPr>
        <w:t xml:space="preserve">. The right panel shows the percentages of individual </w:t>
      </w:r>
      <w:proofErr w:type="spellStart"/>
      <w:r w:rsidRPr="0015069E">
        <w:rPr>
          <w:rFonts w:ascii="Arial" w:eastAsia="Times New Roman" w:hAnsi="Arial" w:cs="Arial"/>
          <w:color w:val="000000"/>
          <w:sz w:val="22"/>
          <w:szCs w:val="22"/>
          <w:shd w:val="clear" w:color="auto" w:fill="FFFFFF"/>
          <w:lang w:eastAsia="zh-CN"/>
        </w:rPr>
        <w:t>angiogenic</w:t>
      </w:r>
      <w:proofErr w:type="spellEnd"/>
      <w:r w:rsidRPr="0015069E">
        <w:rPr>
          <w:rFonts w:ascii="Arial" w:eastAsia="Times New Roman" w:hAnsi="Arial" w:cs="Arial"/>
          <w:color w:val="000000"/>
          <w:sz w:val="22"/>
          <w:szCs w:val="22"/>
          <w:shd w:val="clear" w:color="auto" w:fill="FFFFFF"/>
          <w:lang w:eastAsia="zh-CN"/>
        </w:rPr>
        <w:t xml:space="preserve"> complexes relative to the total.</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A) Bevacizumab promotes the decrement of pro-</w:t>
      </w:r>
      <w:proofErr w:type="spellStart"/>
      <w:r w:rsidRPr="0015069E">
        <w:rPr>
          <w:rFonts w:ascii="Arial" w:eastAsia="Times New Roman" w:hAnsi="Arial" w:cs="Arial"/>
          <w:color w:val="000000"/>
          <w:sz w:val="22"/>
          <w:szCs w:val="22"/>
          <w:shd w:val="clear" w:color="auto" w:fill="FFFFFF"/>
          <w:lang w:eastAsia="zh-CN"/>
        </w:rPr>
        <w:t>angiogenic</w:t>
      </w:r>
      <w:proofErr w:type="spellEnd"/>
      <w:r w:rsidRPr="0015069E">
        <w:rPr>
          <w:rFonts w:ascii="Arial" w:eastAsia="Times New Roman" w:hAnsi="Arial" w:cs="Arial"/>
          <w:color w:val="000000"/>
          <w:sz w:val="22"/>
          <w:szCs w:val="22"/>
          <w:shd w:val="clear" w:color="auto" w:fill="FFFFFF"/>
          <w:lang w:eastAsia="zh-CN"/>
        </w:rPr>
        <w:t xml:space="preserve"> complexes involv</w:t>
      </w:r>
      <w:r>
        <w:rPr>
          <w:rFonts w:ascii="Arial" w:eastAsia="Times New Roman" w:hAnsi="Arial" w:cs="Arial"/>
          <w:color w:val="000000"/>
          <w:sz w:val="22"/>
          <w:szCs w:val="22"/>
          <w:shd w:val="clear" w:color="auto" w:fill="FFFFFF"/>
          <w:lang w:eastAsia="zh-CN"/>
        </w:rPr>
        <w:t>ing</w:t>
      </w:r>
      <w:r w:rsidRPr="0015069E">
        <w:rPr>
          <w:rFonts w:ascii="Arial" w:eastAsia="Times New Roman" w:hAnsi="Arial" w:cs="Arial"/>
          <w:color w:val="000000"/>
          <w:sz w:val="22"/>
          <w:szCs w:val="22"/>
          <w:shd w:val="clear" w:color="auto" w:fill="FFFFFF"/>
          <w:lang w:eastAsia="zh-CN"/>
        </w:rPr>
        <w:t xml:space="preserve"> VEGFR1.</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B) ABT-510 promotes the formation of anti-angiogenic complexes involv</w:t>
      </w:r>
      <w:r>
        <w:rPr>
          <w:rFonts w:ascii="Arial" w:eastAsia="Times New Roman" w:hAnsi="Arial" w:cs="Arial"/>
          <w:color w:val="000000"/>
          <w:sz w:val="22"/>
          <w:szCs w:val="22"/>
          <w:shd w:val="clear" w:color="auto" w:fill="FFFFFF"/>
          <w:lang w:eastAsia="zh-CN"/>
        </w:rPr>
        <w:t>ing</w:t>
      </w:r>
      <w:r w:rsidRPr="0015069E">
        <w:rPr>
          <w:rFonts w:ascii="Arial" w:eastAsia="Times New Roman" w:hAnsi="Arial" w:cs="Arial"/>
          <w:color w:val="000000"/>
          <w:sz w:val="22"/>
          <w:szCs w:val="22"/>
          <w:shd w:val="clear" w:color="auto" w:fill="FFFFFF"/>
          <w:lang w:eastAsia="zh-CN"/>
        </w:rPr>
        <w:t xml:space="preserve"> CD36.</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C) Combination therapy decreases pro-</w:t>
      </w:r>
      <w:proofErr w:type="spellStart"/>
      <w:r w:rsidRPr="0015069E">
        <w:rPr>
          <w:rFonts w:ascii="Arial" w:eastAsia="Times New Roman" w:hAnsi="Arial" w:cs="Arial"/>
          <w:color w:val="000000"/>
          <w:sz w:val="22"/>
          <w:szCs w:val="22"/>
          <w:shd w:val="clear" w:color="auto" w:fill="FFFFFF"/>
          <w:lang w:eastAsia="zh-CN"/>
        </w:rPr>
        <w:t>angiogenic</w:t>
      </w:r>
      <w:proofErr w:type="spellEnd"/>
      <w:r w:rsidRPr="0015069E">
        <w:rPr>
          <w:rFonts w:ascii="Arial" w:eastAsia="Times New Roman" w:hAnsi="Arial" w:cs="Arial"/>
          <w:color w:val="000000"/>
          <w:sz w:val="22"/>
          <w:szCs w:val="22"/>
          <w:shd w:val="clear" w:color="auto" w:fill="FFFFFF"/>
          <w:lang w:eastAsia="zh-CN"/>
        </w:rPr>
        <w:t xml:space="preserve"> complexes and increases anti-angiogenic complexes.</w:t>
      </w:r>
      <w:r>
        <w:rPr>
          <w:rFonts w:ascii="Arial" w:eastAsia="Times New Roman" w:hAnsi="Arial" w:cs="Arial"/>
          <w:color w:val="000000"/>
          <w:sz w:val="22"/>
          <w:szCs w:val="22"/>
          <w:shd w:val="clear" w:color="auto" w:fill="FFFFFF"/>
          <w:lang w:eastAsia="zh-CN"/>
        </w:rPr>
        <w:t xml:space="preserve"> Anti-angiogenic complexes: </w:t>
      </w:r>
      <w:r w:rsidRPr="0003744B">
        <w:rPr>
          <w:rFonts w:ascii="Arial" w:eastAsia="Times New Roman" w:hAnsi="Arial" w:cs="Arial"/>
          <w:i/>
          <w:color w:val="000000"/>
          <w:sz w:val="22"/>
          <w:szCs w:val="22"/>
          <w:shd w:val="clear" w:color="auto" w:fill="FFFFFF"/>
          <w:lang w:eastAsia="zh-CN"/>
        </w:rPr>
        <w:t>B1</w:t>
      </w:r>
      <w:r>
        <w:rPr>
          <w:rFonts w:ascii="Arial" w:eastAsia="Times New Roman" w:hAnsi="Arial" w:cs="Arial"/>
          <w:color w:val="000000"/>
          <w:sz w:val="22"/>
          <w:szCs w:val="22"/>
          <w:shd w:val="clear" w:color="auto" w:fill="FFFFFF"/>
          <w:lang w:eastAsia="zh-CN"/>
        </w:rPr>
        <w:t xml:space="preserve"> represents the TSP1-bound B1 receptors; </w:t>
      </w:r>
      <w:r w:rsidRPr="0003744B">
        <w:rPr>
          <w:rFonts w:ascii="Arial" w:eastAsia="Times New Roman" w:hAnsi="Arial" w:cs="Arial"/>
          <w:i/>
          <w:color w:val="000000"/>
          <w:sz w:val="22"/>
          <w:szCs w:val="22"/>
          <w:shd w:val="clear" w:color="auto" w:fill="FFFFFF"/>
          <w:lang w:eastAsia="zh-CN"/>
        </w:rPr>
        <w:t>CD36</w:t>
      </w:r>
      <w:r>
        <w:rPr>
          <w:rFonts w:ascii="Arial" w:eastAsia="Times New Roman" w:hAnsi="Arial" w:cs="Arial"/>
          <w:i/>
          <w:color w:val="000000"/>
          <w:sz w:val="22"/>
          <w:szCs w:val="22"/>
          <w:shd w:val="clear" w:color="auto" w:fill="FFFFFF"/>
          <w:lang w:eastAsia="zh-CN"/>
        </w:rPr>
        <w:t xml:space="preserve"> </w:t>
      </w:r>
      <w:r w:rsidRPr="0003744B">
        <w:rPr>
          <w:rFonts w:ascii="Arial" w:eastAsia="Times New Roman" w:hAnsi="Arial" w:cs="Arial"/>
          <w:color w:val="000000"/>
          <w:sz w:val="22"/>
          <w:szCs w:val="22"/>
          <w:shd w:val="clear" w:color="auto" w:fill="FFFFFF"/>
          <w:lang w:eastAsia="zh-CN"/>
        </w:rPr>
        <w:t>include</w:t>
      </w:r>
      <w:r>
        <w:rPr>
          <w:rFonts w:ascii="Arial" w:eastAsia="Times New Roman" w:hAnsi="Arial" w:cs="Arial"/>
          <w:color w:val="000000"/>
          <w:sz w:val="22"/>
          <w:szCs w:val="22"/>
          <w:shd w:val="clear" w:color="auto" w:fill="FFFFFF"/>
          <w:lang w:eastAsia="zh-CN"/>
        </w:rPr>
        <w:t>s</w:t>
      </w:r>
      <w:r w:rsidRPr="0003744B">
        <w:rPr>
          <w:rFonts w:ascii="Arial" w:eastAsia="Times New Roman" w:hAnsi="Arial" w:cs="Arial"/>
          <w:color w:val="000000"/>
          <w:sz w:val="22"/>
          <w:szCs w:val="22"/>
          <w:shd w:val="clear" w:color="auto" w:fill="FFFFFF"/>
          <w:lang w:eastAsia="zh-CN"/>
        </w:rPr>
        <w:t xml:space="preserve"> TSP1</w:t>
      </w:r>
      <w:r>
        <w:rPr>
          <w:rFonts w:ascii="Arial" w:eastAsia="Times New Roman" w:hAnsi="Arial" w:cs="Arial"/>
          <w:color w:val="000000"/>
          <w:sz w:val="22"/>
          <w:szCs w:val="22"/>
          <w:shd w:val="clear" w:color="auto" w:fill="FFFFFF"/>
          <w:lang w:eastAsia="zh-CN"/>
        </w:rPr>
        <w:t>-</w:t>
      </w:r>
      <w:r w:rsidRPr="0003744B">
        <w:rPr>
          <w:rFonts w:ascii="Arial" w:eastAsia="Times New Roman" w:hAnsi="Arial" w:cs="Arial"/>
          <w:color w:val="000000"/>
          <w:sz w:val="22"/>
          <w:szCs w:val="22"/>
          <w:shd w:val="clear" w:color="auto" w:fill="FFFFFF"/>
          <w:lang w:eastAsia="zh-CN"/>
        </w:rPr>
        <w:t>bound and ABT-510</w:t>
      </w:r>
      <w:r>
        <w:rPr>
          <w:rFonts w:ascii="Arial" w:eastAsia="Times New Roman" w:hAnsi="Arial" w:cs="Arial"/>
          <w:color w:val="000000"/>
          <w:sz w:val="22"/>
          <w:szCs w:val="22"/>
          <w:shd w:val="clear" w:color="auto" w:fill="FFFFFF"/>
          <w:lang w:eastAsia="zh-CN"/>
        </w:rPr>
        <w:t>-</w:t>
      </w:r>
      <w:r w:rsidRPr="0003744B">
        <w:rPr>
          <w:rFonts w:ascii="Arial" w:eastAsia="Times New Roman" w:hAnsi="Arial" w:cs="Arial"/>
          <w:color w:val="000000"/>
          <w:sz w:val="22"/>
          <w:szCs w:val="22"/>
          <w:shd w:val="clear" w:color="auto" w:fill="FFFFFF"/>
          <w:lang w:eastAsia="zh-CN"/>
        </w:rPr>
        <w:t>bound CD36 receptors</w:t>
      </w:r>
      <w:r>
        <w:rPr>
          <w:rFonts w:ascii="Arial" w:eastAsia="Times New Roman" w:hAnsi="Arial" w:cs="Arial"/>
          <w:color w:val="000000"/>
          <w:sz w:val="22"/>
          <w:szCs w:val="22"/>
          <w:shd w:val="clear" w:color="auto" w:fill="FFFFFF"/>
          <w:lang w:eastAsia="zh-CN"/>
        </w:rPr>
        <w:t>;</w:t>
      </w:r>
      <w:r>
        <w:rPr>
          <w:rFonts w:ascii="Arial" w:eastAsia="Times New Roman" w:hAnsi="Arial" w:cs="Arial"/>
          <w:i/>
          <w:color w:val="000000"/>
          <w:sz w:val="22"/>
          <w:szCs w:val="22"/>
          <w:shd w:val="clear" w:color="auto" w:fill="FFFFFF"/>
          <w:lang w:eastAsia="zh-CN"/>
        </w:rPr>
        <w:t xml:space="preserve"> CD47</w:t>
      </w:r>
      <w:r>
        <w:rPr>
          <w:rFonts w:ascii="Arial" w:eastAsia="Times New Roman" w:hAnsi="Arial" w:cs="Arial"/>
          <w:color w:val="000000"/>
          <w:sz w:val="22"/>
          <w:szCs w:val="22"/>
          <w:shd w:val="clear" w:color="auto" w:fill="FFFFFF"/>
          <w:lang w:eastAsia="zh-CN"/>
        </w:rPr>
        <w:t xml:space="preserve"> represents TSP1-bound CD47 receptors; and </w:t>
      </w:r>
      <w:r w:rsidRPr="0003744B">
        <w:rPr>
          <w:rFonts w:ascii="Arial" w:eastAsia="Times New Roman" w:hAnsi="Arial" w:cs="Arial"/>
          <w:i/>
          <w:color w:val="000000"/>
          <w:sz w:val="22"/>
          <w:szCs w:val="22"/>
          <w:shd w:val="clear" w:color="auto" w:fill="FFFFFF"/>
          <w:lang w:eastAsia="zh-CN"/>
        </w:rPr>
        <w:t>LRP1</w:t>
      </w:r>
      <w:r>
        <w:rPr>
          <w:rFonts w:ascii="Arial" w:eastAsia="Times New Roman" w:hAnsi="Arial" w:cs="Arial"/>
          <w:color w:val="000000"/>
          <w:sz w:val="22"/>
          <w:szCs w:val="22"/>
          <w:shd w:val="clear" w:color="auto" w:fill="FFFFFF"/>
          <w:lang w:eastAsia="zh-CN"/>
        </w:rPr>
        <w:t xml:space="preserve"> represents TSP1-bound LRP1 receptors. Pro-</w:t>
      </w:r>
      <w:proofErr w:type="spellStart"/>
      <w:r>
        <w:rPr>
          <w:rFonts w:ascii="Arial" w:eastAsia="Times New Roman" w:hAnsi="Arial" w:cs="Arial"/>
          <w:color w:val="000000"/>
          <w:sz w:val="22"/>
          <w:szCs w:val="22"/>
          <w:shd w:val="clear" w:color="auto" w:fill="FFFFFF"/>
          <w:lang w:eastAsia="zh-CN"/>
        </w:rPr>
        <w:t>angiogenic</w:t>
      </w:r>
      <w:proofErr w:type="spellEnd"/>
      <w:r>
        <w:rPr>
          <w:rFonts w:ascii="Arial" w:eastAsia="Times New Roman" w:hAnsi="Arial" w:cs="Arial"/>
          <w:color w:val="000000"/>
          <w:sz w:val="22"/>
          <w:szCs w:val="22"/>
          <w:shd w:val="clear" w:color="auto" w:fill="FFFFFF"/>
          <w:lang w:eastAsia="zh-CN"/>
        </w:rPr>
        <w:t xml:space="preserve"> complexes: </w:t>
      </w:r>
      <w:r w:rsidRPr="0003744B">
        <w:rPr>
          <w:rFonts w:ascii="Arial" w:eastAsia="Times New Roman" w:hAnsi="Arial" w:cs="Arial"/>
          <w:i/>
          <w:color w:val="000000"/>
          <w:sz w:val="22"/>
          <w:szCs w:val="22"/>
          <w:shd w:val="clear" w:color="auto" w:fill="FFFFFF"/>
          <w:lang w:eastAsia="zh-CN"/>
        </w:rPr>
        <w:t>R1</w:t>
      </w:r>
      <w:r>
        <w:rPr>
          <w:rFonts w:ascii="Arial" w:eastAsia="Times New Roman" w:hAnsi="Arial" w:cs="Arial"/>
          <w:color w:val="000000"/>
          <w:sz w:val="22"/>
          <w:szCs w:val="22"/>
          <w:shd w:val="clear" w:color="auto" w:fill="FFFFFF"/>
          <w:lang w:eastAsia="zh-CN"/>
        </w:rPr>
        <w:t xml:space="preserve"> represents the VEGF-bound VEGFR1 receptors; </w:t>
      </w:r>
      <w:r w:rsidRPr="0003744B">
        <w:rPr>
          <w:rFonts w:ascii="Arial" w:eastAsia="Times New Roman" w:hAnsi="Arial" w:cs="Arial"/>
          <w:i/>
          <w:color w:val="000000"/>
          <w:sz w:val="22"/>
          <w:szCs w:val="22"/>
          <w:shd w:val="clear" w:color="auto" w:fill="FFFFFF"/>
          <w:lang w:eastAsia="zh-CN"/>
        </w:rPr>
        <w:t>R2</w:t>
      </w:r>
      <w:r>
        <w:rPr>
          <w:rFonts w:ascii="Arial" w:eastAsia="Times New Roman" w:hAnsi="Arial" w:cs="Arial"/>
          <w:i/>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 xml:space="preserve">represents the VEGF-bound VEGFR2 receptors; </w:t>
      </w:r>
      <w:r w:rsidRPr="0003744B">
        <w:rPr>
          <w:rFonts w:ascii="Arial" w:eastAsia="Times New Roman" w:hAnsi="Arial" w:cs="Arial"/>
          <w:i/>
          <w:color w:val="000000"/>
          <w:sz w:val="22"/>
          <w:szCs w:val="22"/>
          <w:shd w:val="clear" w:color="auto" w:fill="FFFFFF"/>
          <w:lang w:eastAsia="zh-CN"/>
        </w:rPr>
        <w:t>N1</w:t>
      </w:r>
      <w:r>
        <w:rPr>
          <w:rFonts w:ascii="Arial" w:eastAsia="Times New Roman" w:hAnsi="Arial" w:cs="Arial"/>
          <w:i/>
          <w:color w:val="000000"/>
          <w:sz w:val="22"/>
          <w:szCs w:val="22"/>
          <w:shd w:val="clear" w:color="auto" w:fill="FFFFFF"/>
          <w:lang w:eastAsia="zh-CN"/>
        </w:rPr>
        <w:t xml:space="preserve"> </w:t>
      </w:r>
      <w:r w:rsidRPr="0003744B">
        <w:rPr>
          <w:rFonts w:ascii="Arial" w:eastAsia="Times New Roman" w:hAnsi="Arial" w:cs="Arial"/>
          <w:color w:val="000000"/>
          <w:sz w:val="22"/>
          <w:szCs w:val="22"/>
          <w:shd w:val="clear" w:color="auto" w:fill="FFFFFF"/>
          <w:lang w:eastAsia="zh-CN"/>
        </w:rPr>
        <w:t>and</w:t>
      </w:r>
      <w:r>
        <w:rPr>
          <w:rFonts w:ascii="Arial" w:eastAsia="Times New Roman" w:hAnsi="Arial" w:cs="Arial"/>
          <w:i/>
          <w:color w:val="000000"/>
          <w:sz w:val="22"/>
          <w:szCs w:val="22"/>
          <w:shd w:val="clear" w:color="auto" w:fill="FFFFFF"/>
          <w:lang w:eastAsia="zh-CN"/>
        </w:rPr>
        <w:t xml:space="preserve"> </w:t>
      </w:r>
      <w:r w:rsidRPr="003A02BD">
        <w:rPr>
          <w:rFonts w:ascii="Arial" w:eastAsia="Times New Roman" w:hAnsi="Arial" w:cs="Arial"/>
          <w:i/>
          <w:color w:val="000000"/>
          <w:sz w:val="22"/>
          <w:szCs w:val="22"/>
          <w:shd w:val="clear" w:color="auto" w:fill="FFFFFF"/>
          <w:lang w:eastAsia="zh-CN"/>
        </w:rPr>
        <w:t>N2</w:t>
      </w:r>
      <w:r>
        <w:rPr>
          <w:rFonts w:ascii="Arial" w:eastAsia="Times New Roman" w:hAnsi="Arial" w:cs="Arial"/>
          <w:i/>
          <w:color w:val="000000"/>
          <w:sz w:val="22"/>
          <w:szCs w:val="22"/>
          <w:shd w:val="clear" w:color="auto" w:fill="FFFFFF"/>
          <w:lang w:eastAsia="zh-CN"/>
        </w:rPr>
        <w:t xml:space="preserve"> </w:t>
      </w:r>
      <w:r w:rsidRPr="0003744B">
        <w:rPr>
          <w:rFonts w:ascii="Arial" w:eastAsia="Times New Roman" w:hAnsi="Arial" w:cs="Arial"/>
          <w:color w:val="000000"/>
          <w:sz w:val="22"/>
          <w:szCs w:val="22"/>
          <w:shd w:val="clear" w:color="auto" w:fill="FFFFFF"/>
          <w:lang w:eastAsia="zh-CN"/>
        </w:rPr>
        <w:t>represent</w:t>
      </w:r>
      <w:r>
        <w:rPr>
          <w:rFonts w:ascii="Arial" w:eastAsia="Times New Roman" w:hAnsi="Arial" w:cs="Arial"/>
          <w:color w:val="000000"/>
          <w:sz w:val="22"/>
          <w:szCs w:val="22"/>
          <w:shd w:val="clear" w:color="auto" w:fill="FFFFFF"/>
          <w:lang w:eastAsia="zh-CN"/>
        </w:rPr>
        <w:t xml:space="preserve"> the VEGF-bound </w:t>
      </w:r>
      <w:proofErr w:type="spellStart"/>
      <w:r>
        <w:rPr>
          <w:rFonts w:ascii="Arial" w:eastAsia="Times New Roman" w:hAnsi="Arial" w:cs="Arial"/>
          <w:color w:val="000000"/>
          <w:sz w:val="22"/>
          <w:szCs w:val="22"/>
          <w:shd w:val="clear" w:color="auto" w:fill="FFFFFF"/>
          <w:lang w:eastAsia="zh-CN"/>
        </w:rPr>
        <w:t>neuropilin</w:t>
      </w:r>
      <w:proofErr w:type="spellEnd"/>
      <w:r>
        <w:rPr>
          <w:rFonts w:ascii="Arial" w:eastAsia="Times New Roman" w:hAnsi="Arial" w:cs="Arial"/>
          <w:color w:val="000000"/>
          <w:sz w:val="22"/>
          <w:szCs w:val="22"/>
          <w:shd w:val="clear" w:color="auto" w:fill="FFFFFF"/>
          <w:lang w:eastAsia="zh-CN"/>
        </w:rPr>
        <w:t xml:space="preserve"> co-receptors. The tertiary complex of VEGF, VEGFR2, and </w:t>
      </w:r>
      <w:proofErr w:type="spellStart"/>
      <w:r>
        <w:rPr>
          <w:rFonts w:ascii="Arial" w:eastAsia="Times New Roman" w:hAnsi="Arial" w:cs="Arial"/>
          <w:color w:val="000000"/>
          <w:sz w:val="22"/>
          <w:szCs w:val="22"/>
          <w:shd w:val="clear" w:color="auto" w:fill="FFFFFF"/>
          <w:lang w:eastAsia="zh-CN"/>
        </w:rPr>
        <w:t>neuropilin</w:t>
      </w:r>
      <w:proofErr w:type="spellEnd"/>
      <w:r>
        <w:rPr>
          <w:rFonts w:ascii="Arial" w:eastAsia="Times New Roman" w:hAnsi="Arial" w:cs="Arial"/>
          <w:color w:val="000000"/>
          <w:sz w:val="22"/>
          <w:szCs w:val="22"/>
          <w:shd w:val="clear" w:color="auto" w:fill="FFFFFF"/>
          <w:lang w:eastAsia="zh-CN"/>
        </w:rPr>
        <w:t xml:space="preserve"> is counted as VEGF-bound </w:t>
      </w:r>
      <w:proofErr w:type="spellStart"/>
      <w:r>
        <w:rPr>
          <w:rFonts w:ascii="Arial" w:eastAsia="Times New Roman" w:hAnsi="Arial" w:cs="Arial"/>
          <w:color w:val="000000"/>
          <w:sz w:val="22"/>
          <w:szCs w:val="22"/>
          <w:shd w:val="clear" w:color="auto" w:fill="FFFFFF"/>
          <w:lang w:eastAsia="zh-CN"/>
        </w:rPr>
        <w:t>neuropilin</w:t>
      </w:r>
      <w:proofErr w:type="spellEnd"/>
      <w:r>
        <w:rPr>
          <w:rFonts w:ascii="Arial" w:eastAsia="Times New Roman" w:hAnsi="Arial" w:cs="Arial"/>
          <w:color w:val="000000"/>
          <w:sz w:val="22"/>
          <w:szCs w:val="22"/>
          <w:shd w:val="clear" w:color="auto" w:fill="FFFFFF"/>
          <w:lang w:eastAsia="zh-CN"/>
        </w:rPr>
        <w:t>.</w:t>
      </w: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w:t>
      </w:r>
      <w:r>
        <w:rPr>
          <w:rFonts w:ascii="Arial" w:eastAsia="Times New Roman" w:hAnsi="Arial" w:cs="Arial"/>
          <w:b/>
          <w:color w:val="000000"/>
          <w:sz w:val="22"/>
          <w:szCs w:val="22"/>
          <w:shd w:val="clear" w:color="auto" w:fill="FFFFFF"/>
          <w:lang w:eastAsia="zh-CN"/>
        </w:rPr>
        <w:t>4.</w:t>
      </w:r>
      <w:r w:rsidRPr="0015069E">
        <w:rPr>
          <w:rFonts w:ascii="Arial" w:eastAsia="Times New Roman" w:hAnsi="Arial" w:cs="Arial"/>
          <w:b/>
          <w:color w:val="000000"/>
          <w:sz w:val="22"/>
          <w:szCs w:val="22"/>
          <w:shd w:val="clear" w:color="auto" w:fill="FFFFFF"/>
          <w:lang w:eastAsia="zh-CN"/>
        </w:rPr>
        <w:t xml:space="preserve"> The dynamics of VEGF, TSP1</w:t>
      </w:r>
      <w:r>
        <w:rPr>
          <w:rFonts w:ascii="Arial" w:eastAsia="Times New Roman" w:hAnsi="Arial" w:cs="Arial"/>
          <w:b/>
          <w:color w:val="000000"/>
          <w:sz w:val="22"/>
          <w:szCs w:val="22"/>
          <w:shd w:val="clear" w:color="auto" w:fill="FFFFFF"/>
          <w:lang w:eastAsia="zh-CN"/>
        </w:rPr>
        <w:t>,</w:t>
      </w:r>
      <w:r w:rsidRPr="0015069E">
        <w:rPr>
          <w:rFonts w:ascii="Arial" w:eastAsia="Times New Roman" w:hAnsi="Arial" w:cs="Arial"/>
          <w:b/>
          <w:color w:val="000000"/>
          <w:sz w:val="22"/>
          <w:szCs w:val="22"/>
          <w:shd w:val="clear" w:color="auto" w:fill="FFFFFF"/>
          <w:lang w:eastAsia="zh-CN"/>
        </w:rPr>
        <w:t xml:space="preserve"> and the </w:t>
      </w:r>
      <w:proofErr w:type="spellStart"/>
      <w:r w:rsidRPr="0015069E">
        <w:rPr>
          <w:rFonts w:ascii="Arial" w:eastAsia="Times New Roman" w:hAnsi="Arial" w:cs="Arial"/>
          <w:b/>
          <w:color w:val="000000"/>
          <w:sz w:val="22"/>
          <w:szCs w:val="22"/>
          <w:shd w:val="clear" w:color="auto" w:fill="FFFFFF"/>
          <w:lang w:eastAsia="zh-CN"/>
        </w:rPr>
        <w:t>angiogenic</w:t>
      </w:r>
      <w:proofErr w:type="spellEnd"/>
      <w:r w:rsidRPr="0015069E">
        <w:rPr>
          <w:rFonts w:ascii="Arial" w:eastAsia="Times New Roman" w:hAnsi="Arial" w:cs="Arial"/>
          <w:b/>
          <w:color w:val="000000"/>
          <w:sz w:val="22"/>
          <w:szCs w:val="22"/>
          <w:shd w:val="clear" w:color="auto" w:fill="FFFFFF"/>
          <w:lang w:eastAsia="zh-CN"/>
        </w:rPr>
        <w:t xml:space="preserve"> ratio </w:t>
      </w:r>
      <w:r>
        <w:rPr>
          <w:rFonts w:ascii="Arial" w:eastAsia="Times New Roman" w:hAnsi="Arial" w:cs="Arial"/>
          <w:b/>
          <w:color w:val="000000"/>
          <w:sz w:val="22"/>
          <w:szCs w:val="22"/>
          <w:shd w:val="clear" w:color="auto" w:fill="FFFFFF"/>
          <w:lang w:eastAsia="zh-CN"/>
        </w:rPr>
        <w:t>with</w:t>
      </w:r>
      <w:r w:rsidRPr="0015069E">
        <w:rPr>
          <w:rFonts w:ascii="Arial" w:eastAsia="Times New Roman" w:hAnsi="Arial" w:cs="Arial"/>
          <w:b/>
          <w:color w:val="000000"/>
          <w:sz w:val="22"/>
          <w:szCs w:val="22"/>
          <w:shd w:val="clear" w:color="auto" w:fill="FFFFFF"/>
          <w:lang w:eastAsia="zh-CN"/>
        </w:rPr>
        <w:t xml:space="preserve"> combination therapy. </w:t>
      </w:r>
      <w:r w:rsidRPr="0015069E">
        <w:rPr>
          <w:rFonts w:ascii="Arial" w:eastAsia="Times New Roman" w:hAnsi="Arial" w:cs="Arial"/>
          <w:color w:val="000000"/>
          <w:sz w:val="22"/>
          <w:szCs w:val="22"/>
          <w:shd w:val="clear" w:color="auto" w:fill="FFFFFF"/>
          <w:lang w:eastAsia="zh-CN"/>
        </w:rPr>
        <w:t>The solid line indicates the average of the simulation results of 1,000 sampled tumor receptor profiles. The shaded area shows the 90% confidence interval.</w:t>
      </w: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w:t>
      </w:r>
      <w:r>
        <w:rPr>
          <w:rFonts w:ascii="Arial" w:eastAsia="Times New Roman" w:hAnsi="Arial" w:cs="Arial"/>
          <w:b/>
          <w:color w:val="000000"/>
          <w:sz w:val="22"/>
          <w:szCs w:val="22"/>
          <w:shd w:val="clear" w:color="auto" w:fill="FFFFFF"/>
          <w:lang w:eastAsia="zh-CN"/>
        </w:rPr>
        <w:t>5.</w:t>
      </w:r>
      <w:r w:rsidRPr="0015069E">
        <w:rPr>
          <w:rFonts w:ascii="Arial" w:eastAsia="Times New Roman" w:hAnsi="Arial" w:cs="Arial"/>
          <w:b/>
          <w:color w:val="000000"/>
          <w:sz w:val="22"/>
          <w:szCs w:val="22"/>
          <w:shd w:val="clear" w:color="auto" w:fill="FFFFFF"/>
          <w:lang w:eastAsia="zh-CN"/>
        </w:rPr>
        <w:t xml:space="preserve"> The fold-changes of </w:t>
      </w:r>
      <w:r>
        <w:rPr>
          <w:rFonts w:ascii="Arial" w:eastAsia="Times New Roman" w:hAnsi="Arial" w:cs="Arial"/>
          <w:b/>
          <w:color w:val="000000"/>
          <w:sz w:val="22"/>
          <w:szCs w:val="22"/>
          <w:shd w:val="clear" w:color="auto" w:fill="FFFFFF"/>
          <w:lang w:eastAsia="zh-CN"/>
        </w:rPr>
        <w:t xml:space="preserve">the </w:t>
      </w:r>
      <w:proofErr w:type="spellStart"/>
      <w:r w:rsidRPr="0015069E">
        <w:rPr>
          <w:rFonts w:ascii="Arial" w:eastAsia="Times New Roman" w:hAnsi="Arial" w:cs="Arial"/>
          <w:b/>
          <w:color w:val="000000"/>
          <w:sz w:val="22"/>
          <w:szCs w:val="22"/>
          <w:shd w:val="clear" w:color="auto" w:fill="FFFFFF"/>
          <w:lang w:eastAsia="zh-CN"/>
        </w:rPr>
        <w:t>angiogenic</w:t>
      </w:r>
      <w:proofErr w:type="spellEnd"/>
      <w:r w:rsidRPr="0015069E">
        <w:rPr>
          <w:rFonts w:ascii="Arial" w:eastAsia="Times New Roman" w:hAnsi="Arial" w:cs="Arial"/>
          <w:b/>
          <w:color w:val="000000"/>
          <w:sz w:val="22"/>
          <w:szCs w:val="22"/>
          <w:shd w:val="clear" w:color="auto" w:fill="FFFFFF"/>
          <w:lang w:eastAsia="zh-CN"/>
        </w:rPr>
        <w:t xml:space="preserve"> complex </w:t>
      </w:r>
      <w:r>
        <w:rPr>
          <w:rFonts w:ascii="Arial" w:eastAsia="Times New Roman" w:hAnsi="Arial" w:cs="Arial"/>
          <w:b/>
          <w:color w:val="000000"/>
          <w:sz w:val="22"/>
          <w:szCs w:val="22"/>
          <w:shd w:val="clear" w:color="auto" w:fill="FFFFFF"/>
          <w:lang w:eastAsia="zh-CN"/>
        </w:rPr>
        <w:t>with</w:t>
      </w:r>
      <w:r w:rsidRPr="0015069E">
        <w:rPr>
          <w:rFonts w:ascii="Arial" w:eastAsia="Times New Roman" w:hAnsi="Arial" w:cs="Arial"/>
          <w:b/>
          <w:color w:val="000000"/>
          <w:sz w:val="22"/>
          <w:szCs w:val="22"/>
          <w:shd w:val="clear" w:color="auto" w:fill="FFFFFF"/>
          <w:lang w:eastAsia="zh-CN"/>
        </w:rPr>
        <w:t xml:space="preserve"> combination therapy. </w:t>
      </w:r>
      <w:r w:rsidRPr="0015069E">
        <w:rPr>
          <w:rFonts w:ascii="Arial" w:eastAsia="Times New Roman" w:hAnsi="Arial" w:cs="Arial"/>
          <w:color w:val="000000"/>
          <w:sz w:val="22"/>
          <w:szCs w:val="22"/>
          <w:shd w:val="clear" w:color="auto" w:fill="FFFFFF"/>
          <w:lang w:eastAsia="zh-CN"/>
        </w:rPr>
        <w:t xml:space="preserve">The numbers of the various receptor complexes change following combination treatment. Dark grey area indicates a fold-change higher than 1, and light grey denotes </w:t>
      </w:r>
      <w:r>
        <w:rPr>
          <w:rFonts w:ascii="Arial" w:eastAsia="Times New Roman" w:hAnsi="Arial" w:cs="Arial"/>
          <w:color w:val="000000"/>
          <w:sz w:val="22"/>
          <w:szCs w:val="22"/>
          <w:shd w:val="clear" w:color="auto" w:fill="FFFFFF"/>
          <w:lang w:eastAsia="zh-CN"/>
        </w:rPr>
        <w:t>a</w:t>
      </w:r>
      <w:r w:rsidRPr="0015069E">
        <w:rPr>
          <w:rFonts w:ascii="Arial" w:eastAsia="Times New Roman" w:hAnsi="Arial" w:cs="Arial"/>
          <w:color w:val="000000"/>
          <w:sz w:val="22"/>
          <w:szCs w:val="22"/>
          <w:shd w:val="clear" w:color="auto" w:fill="FFFFFF"/>
          <w:lang w:eastAsia="zh-CN"/>
        </w:rPr>
        <w:t xml:space="preserve"> fold-change lower </w:t>
      </w:r>
      <w:r w:rsidRPr="0015069E">
        <w:rPr>
          <w:rFonts w:ascii="Arial" w:eastAsia="Times New Roman" w:hAnsi="Arial" w:cs="Arial"/>
          <w:color w:val="000000"/>
          <w:sz w:val="22"/>
          <w:szCs w:val="22"/>
          <w:shd w:val="clear" w:color="auto" w:fill="FFFFFF"/>
          <w:lang w:eastAsia="zh-CN"/>
        </w:rPr>
        <w:lastRenderedPageBreak/>
        <w:t>than 1.</w:t>
      </w:r>
      <w:r w:rsidRPr="00FC4633">
        <w:rPr>
          <w:rFonts w:ascii="Arial" w:eastAsia="Times New Roman" w:hAnsi="Arial" w:cs="Arial"/>
          <w:color w:val="000000"/>
          <w:sz w:val="22"/>
          <w:szCs w:val="22"/>
          <w:shd w:val="clear" w:color="auto" w:fill="FFFFFF"/>
          <w:lang w:eastAsia="zh-CN"/>
        </w:rPr>
        <w:t xml:space="preserve"> </w:t>
      </w:r>
      <w:r w:rsidRPr="009B5AE0">
        <w:rPr>
          <w:rFonts w:ascii="Arial" w:eastAsia="Times New Roman" w:hAnsi="Arial" w:cs="Arial"/>
          <w:i/>
          <w:color w:val="000000"/>
          <w:sz w:val="22"/>
          <w:szCs w:val="22"/>
          <w:shd w:val="clear" w:color="auto" w:fill="FFFFFF"/>
          <w:lang w:eastAsia="zh-CN"/>
        </w:rPr>
        <w:t>B1</w:t>
      </w:r>
      <w:r>
        <w:rPr>
          <w:rFonts w:ascii="Arial" w:eastAsia="Times New Roman" w:hAnsi="Arial" w:cs="Arial"/>
          <w:i/>
          <w:color w:val="000000"/>
          <w:sz w:val="22"/>
          <w:szCs w:val="22"/>
          <w:shd w:val="clear" w:color="auto" w:fill="FFFFFF"/>
          <w:lang w:eastAsia="zh-CN"/>
        </w:rPr>
        <w:t>-complex,</w:t>
      </w:r>
      <w:r>
        <w:rPr>
          <w:rFonts w:ascii="Arial" w:eastAsia="Times New Roman" w:hAnsi="Arial" w:cs="Arial"/>
          <w:color w:val="000000"/>
          <w:sz w:val="22"/>
          <w:szCs w:val="22"/>
          <w:shd w:val="clear" w:color="auto" w:fill="FFFFFF"/>
          <w:lang w:eastAsia="zh-CN"/>
        </w:rPr>
        <w:t xml:space="preserve"> the TSP1-bound B1 receptors; </w:t>
      </w:r>
      <w:r>
        <w:rPr>
          <w:rFonts w:ascii="Arial" w:eastAsia="Times New Roman" w:hAnsi="Arial" w:cs="Arial"/>
          <w:i/>
          <w:color w:val="000000"/>
          <w:sz w:val="22"/>
          <w:szCs w:val="22"/>
          <w:shd w:val="clear" w:color="auto" w:fill="FFFFFF"/>
          <w:lang w:eastAsia="zh-CN"/>
        </w:rPr>
        <w:t>CD47-complex,</w:t>
      </w:r>
      <w:r>
        <w:rPr>
          <w:rFonts w:ascii="Arial" w:eastAsia="Times New Roman" w:hAnsi="Arial" w:cs="Arial"/>
          <w:color w:val="000000"/>
          <w:sz w:val="22"/>
          <w:szCs w:val="22"/>
          <w:shd w:val="clear" w:color="auto" w:fill="FFFFFF"/>
          <w:lang w:eastAsia="zh-CN"/>
        </w:rPr>
        <w:t xml:space="preserve"> TSP1-bound CD47 receptors; </w:t>
      </w:r>
      <w:r w:rsidRPr="009B5AE0">
        <w:rPr>
          <w:rFonts w:ascii="Arial" w:eastAsia="Times New Roman" w:hAnsi="Arial" w:cs="Arial"/>
          <w:i/>
          <w:color w:val="000000"/>
          <w:sz w:val="22"/>
          <w:szCs w:val="22"/>
          <w:shd w:val="clear" w:color="auto" w:fill="FFFFFF"/>
          <w:lang w:eastAsia="zh-CN"/>
        </w:rPr>
        <w:t>LRP1</w:t>
      </w:r>
      <w:r>
        <w:rPr>
          <w:rFonts w:ascii="Arial" w:eastAsia="Times New Roman" w:hAnsi="Arial" w:cs="Arial"/>
          <w:i/>
          <w:color w:val="000000"/>
          <w:sz w:val="22"/>
          <w:szCs w:val="22"/>
          <w:shd w:val="clear" w:color="auto" w:fill="FFFFFF"/>
          <w:lang w:eastAsia="zh-CN"/>
        </w:rPr>
        <w:t>-complex</w:t>
      </w:r>
      <w:r>
        <w:rPr>
          <w:rFonts w:ascii="Arial" w:eastAsia="Times New Roman" w:hAnsi="Arial" w:cs="Arial"/>
          <w:color w:val="000000"/>
          <w:sz w:val="22"/>
          <w:szCs w:val="22"/>
          <w:shd w:val="clear" w:color="auto" w:fill="FFFFFF"/>
          <w:lang w:eastAsia="zh-CN"/>
        </w:rPr>
        <w:t>, TSP1-bound LRP1 receptors;</w:t>
      </w:r>
      <w:r w:rsidRPr="00FC4633">
        <w:rPr>
          <w:rFonts w:ascii="Arial" w:eastAsia="Times New Roman" w:hAnsi="Arial" w:cs="Arial"/>
          <w:i/>
          <w:color w:val="000000"/>
          <w:sz w:val="22"/>
          <w:szCs w:val="22"/>
          <w:shd w:val="clear" w:color="auto" w:fill="FFFFFF"/>
          <w:lang w:eastAsia="zh-CN"/>
        </w:rPr>
        <w:t xml:space="preserve"> </w:t>
      </w:r>
      <w:r w:rsidRPr="009B5AE0">
        <w:rPr>
          <w:rFonts w:ascii="Arial" w:eastAsia="Times New Roman" w:hAnsi="Arial" w:cs="Arial"/>
          <w:i/>
          <w:color w:val="000000"/>
          <w:sz w:val="22"/>
          <w:szCs w:val="22"/>
          <w:shd w:val="clear" w:color="auto" w:fill="FFFFFF"/>
          <w:lang w:eastAsia="zh-CN"/>
        </w:rPr>
        <w:t>N1</w:t>
      </w:r>
      <w:r>
        <w:rPr>
          <w:rFonts w:ascii="Arial" w:eastAsia="Times New Roman" w:hAnsi="Arial" w:cs="Arial"/>
          <w:i/>
          <w:color w:val="000000"/>
          <w:sz w:val="22"/>
          <w:szCs w:val="22"/>
          <w:shd w:val="clear" w:color="auto" w:fill="FFFFFF"/>
          <w:lang w:eastAsia="zh-CN"/>
        </w:rPr>
        <w:t>-complex</w:t>
      </w:r>
      <w:r>
        <w:rPr>
          <w:rFonts w:ascii="Arial" w:eastAsia="Times New Roman" w:hAnsi="Arial" w:cs="Arial"/>
          <w:color w:val="000000"/>
          <w:sz w:val="22"/>
          <w:szCs w:val="22"/>
          <w:shd w:val="clear" w:color="auto" w:fill="FFFFFF"/>
          <w:lang w:eastAsia="zh-CN"/>
        </w:rPr>
        <w:t>, VEGF-bound neuropilin-1;</w:t>
      </w:r>
      <w:r>
        <w:rPr>
          <w:rFonts w:ascii="Arial" w:eastAsia="Times New Roman" w:hAnsi="Arial" w:cs="Arial"/>
          <w:i/>
          <w:color w:val="000000"/>
          <w:sz w:val="22"/>
          <w:szCs w:val="22"/>
          <w:shd w:val="clear" w:color="auto" w:fill="FFFFFF"/>
          <w:lang w:eastAsia="zh-CN"/>
        </w:rPr>
        <w:t xml:space="preserve"> </w:t>
      </w:r>
      <w:r w:rsidRPr="009B5AE0">
        <w:rPr>
          <w:rFonts w:ascii="Arial" w:eastAsia="Times New Roman" w:hAnsi="Arial" w:cs="Arial"/>
          <w:color w:val="000000"/>
          <w:sz w:val="22"/>
          <w:szCs w:val="22"/>
          <w:shd w:val="clear" w:color="auto" w:fill="FFFFFF"/>
          <w:lang w:eastAsia="zh-CN"/>
        </w:rPr>
        <w:t>and</w:t>
      </w:r>
      <w:r>
        <w:rPr>
          <w:rFonts w:ascii="Arial" w:eastAsia="Times New Roman" w:hAnsi="Arial" w:cs="Arial"/>
          <w:i/>
          <w:color w:val="000000"/>
          <w:sz w:val="22"/>
          <w:szCs w:val="22"/>
          <w:shd w:val="clear" w:color="auto" w:fill="FFFFFF"/>
          <w:lang w:eastAsia="zh-CN"/>
        </w:rPr>
        <w:t xml:space="preserve"> </w:t>
      </w:r>
      <w:r w:rsidRPr="003A02BD">
        <w:rPr>
          <w:rFonts w:ascii="Arial" w:eastAsia="Times New Roman" w:hAnsi="Arial" w:cs="Arial"/>
          <w:i/>
          <w:color w:val="000000"/>
          <w:sz w:val="22"/>
          <w:szCs w:val="22"/>
          <w:shd w:val="clear" w:color="auto" w:fill="FFFFFF"/>
          <w:lang w:eastAsia="zh-CN"/>
        </w:rPr>
        <w:t>N2</w:t>
      </w:r>
      <w:r>
        <w:rPr>
          <w:rFonts w:ascii="Arial" w:eastAsia="Times New Roman" w:hAnsi="Arial" w:cs="Arial"/>
          <w:i/>
          <w:color w:val="000000"/>
          <w:sz w:val="22"/>
          <w:szCs w:val="22"/>
          <w:shd w:val="clear" w:color="auto" w:fill="FFFFFF"/>
          <w:lang w:eastAsia="zh-CN"/>
        </w:rPr>
        <w:t>-complex</w:t>
      </w:r>
      <w:r>
        <w:rPr>
          <w:rFonts w:ascii="Arial" w:eastAsia="Times New Roman" w:hAnsi="Arial" w:cs="Arial"/>
          <w:color w:val="000000"/>
          <w:sz w:val="22"/>
          <w:szCs w:val="22"/>
          <w:shd w:val="clear" w:color="auto" w:fill="FFFFFF"/>
          <w:lang w:eastAsia="zh-CN"/>
        </w:rPr>
        <w:t>,</w:t>
      </w:r>
      <w:r>
        <w:rPr>
          <w:rFonts w:ascii="Arial" w:eastAsia="Times New Roman" w:hAnsi="Arial" w:cs="Arial"/>
          <w:i/>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 xml:space="preserve">VEGF-bound neuropilin-2; </w:t>
      </w:r>
      <w:r w:rsidRPr="009B5AE0">
        <w:rPr>
          <w:rFonts w:ascii="Arial" w:eastAsia="Times New Roman" w:hAnsi="Arial" w:cs="Arial"/>
          <w:i/>
          <w:color w:val="000000"/>
          <w:sz w:val="22"/>
          <w:szCs w:val="22"/>
          <w:shd w:val="clear" w:color="auto" w:fill="FFFFFF"/>
          <w:lang w:eastAsia="zh-CN"/>
        </w:rPr>
        <w:t>R1</w:t>
      </w:r>
      <w:r>
        <w:rPr>
          <w:rFonts w:ascii="Arial" w:eastAsia="Times New Roman" w:hAnsi="Arial" w:cs="Arial"/>
          <w:i/>
          <w:color w:val="000000"/>
          <w:sz w:val="22"/>
          <w:szCs w:val="22"/>
          <w:shd w:val="clear" w:color="auto" w:fill="FFFFFF"/>
          <w:lang w:eastAsia="zh-CN"/>
        </w:rPr>
        <w:t>-complex,</w:t>
      </w:r>
      <w:r>
        <w:rPr>
          <w:rFonts w:ascii="Arial" w:eastAsia="Times New Roman" w:hAnsi="Arial" w:cs="Arial"/>
          <w:color w:val="000000"/>
          <w:sz w:val="22"/>
          <w:szCs w:val="22"/>
          <w:shd w:val="clear" w:color="auto" w:fill="FFFFFF"/>
          <w:lang w:eastAsia="zh-CN"/>
        </w:rPr>
        <w:t xml:space="preserve"> VEGF-bound VEGFR1 receptors; </w:t>
      </w:r>
      <w:r w:rsidRPr="009B5AE0">
        <w:rPr>
          <w:rFonts w:ascii="Arial" w:eastAsia="Times New Roman" w:hAnsi="Arial" w:cs="Arial"/>
          <w:i/>
          <w:color w:val="000000"/>
          <w:sz w:val="22"/>
          <w:szCs w:val="22"/>
          <w:shd w:val="clear" w:color="auto" w:fill="FFFFFF"/>
          <w:lang w:eastAsia="zh-CN"/>
        </w:rPr>
        <w:t>R2</w:t>
      </w:r>
      <w:r>
        <w:rPr>
          <w:rFonts w:ascii="Arial" w:eastAsia="Times New Roman" w:hAnsi="Arial" w:cs="Arial"/>
          <w:i/>
          <w:color w:val="000000"/>
          <w:sz w:val="22"/>
          <w:szCs w:val="22"/>
          <w:shd w:val="clear" w:color="auto" w:fill="FFFFFF"/>
          <w:lang w:eastAsia="zh-CN"/>
        </w:rPr>
        <w:t xml:space="preserve">-complex, </w:t>
      </w:r>
      <w:r>
        <w:rPr>
          <w:rFonts w:ascii="Arial" w:eastAsia="Times New Roman" w:hAnsi="Arial" w:cs="Arial"/>
          <w:color w:val="000000"/>
          <w:sz w:val="22"/>
          <w:szCs w:val="22"/>
          <w:shd w:val="clear" w:color="auto" w:fill="FFFFFF"/>
          <w:lang w:eastAsia="zh-CN"/>
        </w:rPr>
        <w:t xml:space="preserve">VEGF-bound VEGFR2 receptors that do not involved ligand bound TSP1 receptors; </w:t>
      </w:r>
      <w:r w:rsidRPr="009B5AE0">
        <w:rPr>
          <w:rFonts w:ascii="Arial" w:eastAsia="Times New Roman" w:hAnsi="Arial" w:cs="Arial"/>
          <w:i/>
          <w:color w:val="000000"/>
          <w:sz w:val="22"/>
          <w:szCs w:val="22"/>
          <w:shd w:val="clear" w:color="auto" w:fill="FFFFFF"/>
          <w:lang w:eastAsia="zh-CN"/>
        </w:rPr>
        <w:t>R2</w:t>
      </w:r>
      <w:r>
        <w:rPr>
          <w:rFonts w:ascii="Arial" w:eastAsia="Times New Roman" w:hAnsi="Arial" w:cs="Arial"/>
          <w:i/>
          <w:color w:val="000000"/>
          <w:sz w:val="22"/>
          <w:szCs w:val="22"/>
          <w:shd w:val="clear" w:color="auto" w:fill="FFFFFF"/>
          <w:lang w:eastAsia="zh-CN"/>
        </w:rPr>
        <w:t xml:space="preserve">-complex (inactive), </w:t>
      </w:r>
      <w:r>
        <w:rPr>
          <w:rFonts w:ascii="Arial" w:eastAsia="Times New Roman" w:hAnsi="Arial" w:cs="Arial"/>
          <w:color w:val="000000"/>
          <w:sz w:val="22"/>
          <w:szCs w:val="22"/>
          <w:shd w:val="clear" w:color="auto" w:fill="FFFFFF"/>
          <w:lang w:eastAsia="zh-CN"/>
        </w:rPr>
        <w:t xml:space="preserve">VEGF-bound VEGFR2 receptors coupled with ligand-bound TSP1 receptors; </w:t>
      </w:r>
      <w:r w:rsidRPr="009B5AE0">
        <w:rPr>
          <w:rFonts w:ascii="Arial" w:eastAsia="Times New Roman" w:hAnsi="Arial" w:cs="Arial"/>
          <w:i/>
          <w:color w:val="000000"/>
          <w:sz w:val="22"/>
          <w:szCs w:val="22"/>
          <w:shd w:val="clear" w:color="auto" w:fill="FFFFFF"/>
          <w:lang w:eastAsia="zh-CN"/>
        </w:rPr>
        <w:t>CD36</w:t>
      </w:r>
      <w:r>
        <w:rPr>
          <w:rFonts w:ascii="Arial" w:eastAsia="Times New Roman" w:hAnsi="Arial" w:cs="Arial"/>
          <w:i/>
          <w:color w:val="000000"/>
          <w:sz w:val="22"/>
          <w:szCs w:val="22"/>
          <w:shd w:val="clear" w:color="auto" w:fill="FFFFFF"/>
          <w:lang w:eastAsia="zh-CN"/>
        </w:rPr>
        <w:t xml:space="preserve">-complex, </w:t>
      </w:r>
      <w:r w:rsidRPr="009B5AE0">
        <w:rPr>
          <w:rFonts w:ascii="Arial" w:eastAsia="Times New Roman" w:hAnsi="Arial" w:cs="Arial"/>
          <w:color w:val="000000"/>
          <w:sz w:val="22"/>
          <w:szCs w:val="22"/>
          <w:shd w:val="clear" w:color="auto" w:fill="FFFFFF"/>
          <w:lang w:eastAsia="zh-CN"/>
        </w:rPr>
        <w:t>TSP1</w:t>
      </w:r>
      <w:r>
        <w:rPr>
          <w:rFonts w:ascii="Arial" w:eastAsia="Times New Roman" w:hAnsi="Arial" w:cs="Arial"/>
          <w:color w:val="000000"/>
          <w:sz w:val="22"/>
          <w:szCs w:val="22"/>
          <w:shd w:val="clear" w:color="auto" w:fill="FFFFFF"/>
          <w:lang w:eastAsia="zh-CN"/>
        </w:rPr>
        <w:t>-</w:t>
      </w:r>
      <w:r w:rsidRPr="009B5AE0">
        <w:rPr>
          <w:rFonts w:ascii="Arial" w:eastAsia="Times New Roman" w:hAnsi="Arial" w:cs="Arial"/>
          <w:color w:val="000000"/>
          <w:sz w:val="22"/>
          <w:szCs w:val="22"/>
          <w:shd w:val="clear" w:color="auto" w:fill="FFFFFF"/>
          <w:lang w:eastAsia="zh-CN"/>
        </w:rPr>
        <w:t>bound and ABT-510</w:t>
      </w:r>
      <w:r>
        <w:rPr>
          <w:rFonts w:ascii="Arial" w:eastAsia="Times New Roman" w:hAnsi="Arial" w:cs="Arial"/>
          <w:color w:val="000000"/>
          <w:sz w:val="22"/>
          <w:szCs w:val="22"/>
          <w:shd w:val="clear" w:color="auto" w:fill="FFFFFF"/>
          <w:lang w:eastAsia="zh-CN"/>
        </w:rPr>
        <w:t>-</w:t>
      </w:r>
      <w:r w:rsidRPr="009B5AE0">
        <w:rPr>
          <w:rFonts w:ascii="Arial" w:eastAsia="Times New Roman" w:hAnsi="Arial" w:cs="Arial"/>
          <w:color w:val="000000"/>
          <w:sz w:val="22"/>
          <w:szCs w:val="22"/>
          <w:shd w:val="clear" w:color="auto" w:fill="FFFFFF"/>
          <w:lang w:eastAsia="zh-CN"/>
        </w:rPr>
        <w:t>bound CD36 receptors</w:t>
      </w:r>
      <w:r>
        <w:rPr>
          <w:rFonts w:ascii="Arial" w:eastAsia="Times New Roman" w:hAnsi="Arial" w:cs="Arial"/>
          <w:color w:val="000000"/>
          <w:sz w:val="22"/>
          <w:szCs w:val="22"/>
          <w:shd w:val="clear" w:color="auto" w:fill="FFFFFF"/>
          <w:lang w:eastAsia="zh-CN"/>
        </w:rPr>
        <w:t xml:space="preserve">. The tertiary complex of VEGF, VEGFR2 and </w:t>
      </w:r>
      <w:proofErr w:type="spellStart"/>
      <w:r>
        <w:rPr>
          <w:rFonts w:ascii="Arial" w:eastAsia="Times New Roman" w:hAnsi="Arial" w:cs="Arial"/>
          <w:color w:val="000000"/>
          <w:sz w:val="22"/>
          <w:szCs w:val="22"/>
          <w:shd w:val="clear" w:color="auto" w:fill="FFFFFF"/>
          <w:lang w:eastAsia="zh-CN"/>
        </w:rPr>
        <w:t>neuropilin</w:t>
      </w:r>
      <w:proofErr w:type="spellEnd"/>
      <w:r>
        <w:rPr>
          <w:rFonts w:ascii="Arial" w:eastAsia="Times New Roman" w:hAnsi="Arial" w:cs="Arial"/>
          <w:color w:val="000000"/>
          <w:sz w:val="22"/>
          <w:szCs w:val="22"/>
          <w:shd w:val="clear" w:color="auto" w:fill="FFFFFF"/>
          <w:lang w:eastAsia="zh-CN"/>
        </w:rPr>
        <w:t xml:space="preserve"> is counted as VEGF-bound </w:t>
      </w:r>
      <w:proofErr w:type="spellStart"/>
      <w:r>
        <w:rPr>
          <w:rFonts w:ascii="Arial" w:eastAsia="Times New Roman" w:hAnsi="Arial" w:cs="Arial"/>
          <w:color w:val="000000"/>
          <w:sz w:val="22"/>
          <w:szCs w:val="22"/>
          <w:shd w:val="clear" w:color="auto" w:fill="FFFFFF"/>
          <w:lang w:eastAsia="zh-CN"/>
        </w:rPr>
        <w:t>neuropilin</w:t>
      </w:r>
      <w:proofErr w:type="spellEnd"/>
      <w:r>
        <w:rPr>
          <w:rFonts w:ascii="Arial" w:eastAsia="Times New Roman" w:hAnsi="Arial" w:cs="Arial"/>
          <w:color w:val="000000"/>
          <w:sz w:val="22"/>
          <w:szCs w:val="22"/>
          <w:shd w:val="clear" w:color="auto" w:fill="FFFFFF"/>
          <w:lang w:eastAsia="zh-CN"/>
        </w:rPr>
        <w:t>.</w:t>
      </w: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w:t>
      </w:r>
      <w:r>
        <w:rPr>
          <w:rFonts w:ascii="Arial" w:eastAsia="Times New Roman" w:hAnsi="Arial" w:cs="Arial"/>
          <w:b/>
          <w:color w:val="000000"/>
          <w:sz w:val="22"/>
          <w:szCs w:val="22"/>
          <w:shd w:val="clear" w:color="auto" w:fill="FFFFFF"/>
          <w:lang w:eastAsia="zh-CN"/>
        </w:rPr>
        <w:t>6.</w:t>
      </w:r>
      <w:r w:rsidRPr="0015069E">
        <w:rPr>
          <w:rFonts w:ascii="Arial" w:eastAsia="Times New Roman" w:hAnsi="Arial" w:cs="Arial"/>
          <w:b/>
          <w:color w:val="000000"/>
          <w:sz w:val="22"/>
          <w:szCs w:val="22"/>
          <w:shd w:val="clear" w:color="auto" w:fill="FFFFFF"/>
          <w:lang w:eastAsia="zh-CN"/>
        </w:rPr>
        <w:t xml:space="preserve"> The comparison of the predicted responses from the PLSR model and the mechanistic model.  </w:t>
      </w:r>
      <w:r w:rsidRPr="0015069E">
        <w:rPr>
          <w:rFonts w:ascii="Arial" w:eastAsia="Times New Roman" w:hAnsi="Arial" w:cs="Arial"/>
          <w:color w:val="000000"/>
          <w:sz w:val="22"/>
          <w:szCs w:val="22"/>
          <w:shd w:val="clear" w:color="auto" w:fill="FFFFFF"/>
          <w:lang w:eastAsia="zh-CN"/>
        </w:rPr>
        <w:t xml:space="preserve">Our </w:t>
      </w:r>
      <w:r>
        <w:rPr>
          <w:rFonts w:ascii="Arial" w:eastAsia="Times New Roman" w:hAnsi="Arial" w:cs="Arial"/>
          <w:color w:val="000000"/>
          <w:sz w:val="22"/>
          <w:szCs w:val="22"/>
          <w:shd w:val="clear" w:color="auto" w:fill="FFFFFF"/>
          <w:lang w:eastAsia="zh-CN"/>
        </w:rPr>
        <w:t>optimal</w:t>
      </w:r>
      <w:r w:rsidRPr="0015069E">
        <w:rPr>
          <w:rFonts w:ascii="Arial" w:eastAsia="Times New Roman" w:hAnsi="Arial" w:cs="Arial"/>
          <w:color w:val="000000"/>
          <w:sz w:val="22"/>
          <w:szCs w:val="22"/>
          <w:shd w:val="clear" w:color="auto" w:fill="FFFFFF"/>
          <w:lang w:eastAsia="zh-CN"/>
        </w:rPr>
        <w:t xml:space="preserve"> PLSR model has </w:t>
      </w:r>
      <w:r>
        <w:rPr>
          <w:rFonts w:ascii="Arial" w:eastAsia="Times New Roman" w:hAnsi="Arial" w:cs="Arial"/>
          <w:color w:val="000000"/>
          <w:sz w:val="22"/>
          <w:szCs w:val="22"/>
          <w:shd w:val="clear" w:color="auto" w:fill="FFFFFF"/>
          <w:lang w:eastAsia="zh-CN"/>
        </w:rPr>
        <w:t>two</w:t>
      </w:r>
      <w:r w:rsidRPr="0015069E">
        <w:rPr>
          <w:rFonts w:ascii="Arial" w:eastAsia="Times New Roman" w:hAnsi="Arial" w:cs="Arial"/>
          <w:color w:val="000000"/>
          <w:sz w:val="22"/>
          <w:szCs w:val="22"/>
          <w:shd w:val="clear" w:color="auto" w:fill="FFFFFF"/>
          <w:lang w:eastAsia="zh-CN"/>
        </w:rPr>
        <w:t xml:space="preserve"> principal components and shows good performance</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Q</w:t>
      </w:r>
      <w:r w:rsidRPr="0015069E">
        <w:rPr>
          <w:rFonts w:ascii="Arial" w:eastAsia="Times New Roman" w:hAnsi="Arial" w:cs="Arial"/>
          <w:color w:val="000000"/>
          <w:sz w:val="22"/>
          <w:szCs w:val="22"/>
          <w:shd w:val="clear" w:color="auto" w:fill="FFFFFF"/>
          <w:vertAlign w:val="superscript"/>
          <w:lang w:eastAsia="zh-CN"/>
        </w:rPr>
        <w:t>2</w:t>
      </w:r>
      <w:r w:rsidRPr="0015069E">
        <w:rPr>
          <w:rFonts w:ascii="Arial" w:eastAsia="Times New Roman" w:hAnsi="Arial" w:cs="Arial"/>
          <w:color w:val="000000"/>
          <w:sz w:val="22"/>
          <w:szCs w:val="22"/>
          <w:shd w:val="clear" w:color="auto" w:fill="FFFFFF"/>
          <w:lang w:eastAsia="zh-CN"/>
        </w:rPr>
        <w:t>Y = 0.94; R</w:t>
      </w:r>
      <w:r w:rsidRPr="0015069E">
        <w:rPr>
          <w:rFonts w:ascii="Arial" w:eastAsia="Times New Roman" w:hAnsi="Arial" w:cs="Arial"/>
          <w:color w:val="000000"/>
          <w:sz w:val="22"/>
          <w:szCs w:val="22"/>
          <w:shd w:val="clear" w:color="auto" w:fill="FFFFFF"/>
          <w:vertAlign w:val="superscript"/>
          <w:lang w:eastAsia="zh-CN"/>
        </w:rPr>
        <w:t>2</w:t>
      </w:r>
      <w:r w:rsidRPr="0015069E">
        <w:rPr>
          <w:rFonts w:ascii="Arial" w:eastAsia="Times New Roman" w:hAnsi="Arial" w:cs="Arial"/>
          <w:color w:val="000000"/>
          <w:sz w:val="22"/>
          <w:szCs w:val="22"/>
          <w:shd w:val="clear" w:color="auto" w:fill="FFFFFF"/>
          <w:lang w:eastAsia="zh-CN"/>
        </w:rPr>
        <w:t xml:space="preserve">Y = 0.93). The dashed line represents a 100% match between predicted values from </w:t>
      </w:r>
      <w:r>
        <w:rPr>
          <w:rFonts w:ascii="Arial" w:eastAsia="Times New Roman" w:hAnsi="Arial" w:cs="Arial"/>
          <w:color w:val="000000"/>
          <w:sz w:val="22"/>
          <w:szCs w:val="22"/>
          <w:shd w:val="clear" w:color="auto" w:fill="FFFFFF"/>
          <w:lang w:eastAsia="zh-CN"/>
        </w:rPr>
        <w:t xml:space="preserve">the </w:t>
      </w:r>
      <w:r w:rsidRPr="0015069E">
        <w:rPr>
          <w:rFonts w:ascii="Arial" w:eastAsia="Times New Roman" w:hAnsi="Arial" w:cs="Arial"/>
          <w:color w:val="000000"/>
          <w:sz w:val="22"/>
          <w:szCs w:val="22"/>
          <w:shd w:val="clear" w:color="auto" w:fill="FFFFFF"/>
          <w:lang w:eastAsia="zh-CN"/>
        </w:rPr>
        <w:t xml:space="preserve">PLSR model and the responses predicted by the three-compartment </w:t>
      </w:r>
      <w:r>
        <w:rPr>
          <w:rFonts w:ascii="Arial" w:eastAsia="Times New Roman" w:hAnsi="Arial" w:cs="Arial"/>
          <w:color w:val="000000"/>
          <w:sz w:val="22"/>
          <w:szCs w:val="22"/>
          <w:shd w:val="clear" w:color="auto" w:fill="FFFFFF"/>
          <w:lang w:eastAsia="zh-CN"/>
        </w:rPr>
        <w:t>systems biology</w:t>
      </w:r>
      <w:r w:rsidRPr="0015069E">
        <w:rPr>
          <w:rFonts w:ascii="Arial" w:eastAsia="Times New Roman" w:hAnsi="Arial" w:cs="Arial"/>
          <w:color w:val="000000"/>
          <w:sz w:val="22"/>
          <w:szCs w:val="22"/>
          <w:shd w:val="clear" w:color="auto" w:fill="FFFFFF"/>
          <w:lang w:eastAsia="zh-CN"/>
        </w:rPr>
        <w:t xml:space="preserve"> model. </w:t>
      </w:r>
    </w:p>
    <w:p w:rsidR="00C749DA" w:rsidRPr="0015069E"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Figure S</w:t>
      </w:r>
      <w:r>
        <w:rPr>
          <w:rFonts w:ascii="Arial" w:eastAsia="Times New Roman" w:hAnsi="Arial" w:cs="Arial"/>
          <w:b/>
          <w:color w:val="000000"/>
          <w:sz w:val="22"/>
          <w:szCs w:val="22"/>
          <w:shd w:val="clear" w:color="auto" w:fill="FFFFFF"/>
          <w:lang w:eastAsia="zh-CN"/>
        </w:rPr>
        <w:t>7.</w:t>
      </w:r>
      <w:r w:rsidRPr="0015069E">
        <w:rPr>
          <w:rFonts w:ascii="Arial" w:eastAsia="Times New Roman" w:hAnsi="Arial" w:cs="Arial"/>
          <w:b/>
          <w:color w:val="000000"/>
          <w:sz w:val="22"/>
          <w:szCs w:val="22"/>
          <w:shd w:val="clear" w:color="auto" w:fill="FFFFFF"/>
          <w:lang w:eastAsia="zh-CN"/>
        </w:rPr>
        <w:t xml:space="preserve"> The association between </w:t>
      </w:r>
      <w:proofErr w:type="spellStart"/>
      <w:r w:rsidRPr="0015069E">
        <w:rPr>
          <w:rFonts w:ascii="Arial" w:eastAsia="Times New Roman" w:hAnsi="Arial" w:cs="Arial"/>
          <w:b/>
          <w:color w:val="000000"/>
          <w:sz w:val="22"/>
          <w:szCs w:val="22"/>
          <w:shd w:val="clear" w:color="auto" w:fill="FFFFFF"/>
          <w:lang w:eastAsia="zh-CN"/>
        </w:rPr>
        <w:t>angiogenic</w:t>
      </w:r>
      <w:proofErr w:type="spellEnd"/>
      <w:r w:rsidRPr="0015069E">
        <w:rPr>
          <w:rFonts w:ascii="Arial" w:eastAsia="Times New Roman" w:hAnsi="Arial" w:cs="Arial"/>
          <w:b/>
          <w:color w:val="000000"/>
          <w:sz w:val="22"/>
          <w:szCs w:val="22"/>
          <w:shd w:val="clear" w:color="auto" w:fill="FFFFFF"/>
          <w:lang w:eastAsia="zh-CN"/>
        </w:rPr>
        <w:t xml:space="preserve"> receptors and response to combination anti-angiogenic therapy. </w:t>
      </w:r>
      <w:r w:rsidRPr="0015069E">
        <w:rPr>
          <w:rFonts w:ascii="Arial" w:eastAsia="Times New Roman" w:hAnsi="Arial" w:cs="Arial"/>
          <w:color w:val="000000"/>
          <w:sz w:val="22"/>
          <w:szCs w:val="22"/>
          <w:shd w:val="clear" w:color="auto" w:fill="FFFFFF"/>
          <w:lang w:eastAsia="zh-CN"/>
        </w:rPr>
        <w:t>The normalized receptor level is plotted versus the response to combination therapy</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 xml:space="preserve">fold-change in the </w:t>
      </w:r>
      <w:proofErr w:type="spellStart"/>
      <w:r w:rsidRPr="0015069E">
        <w:rPr>
          <w:rFonts w:ascii="Arial" w:eastAsia="Times New Roman" w:hAnsi="Arial" w:cs="Arial"/>
          <w:color w:val="000000"/>
          <w:sz w:val="22"/>
          <w:szCs w:val="22"/>
          <w:shd w:val="clear" w:color="auto" w:fill="FFFFFF"/>
          <w:lang w:eastAsia="zh-CN"/>
        </w:rPr>
        <w:t>angiogenic</w:t>
      </w:r>
      <w:proofErr w:type="spellEnd"/>
      <w:r w:rsidRPr="0015069E">
        <w:rPr>
          <w:rFonts w:ascii="Arial" w:eastAsia="Times New Roman" w:hAnsi="Arial" w:cs="Arial"/>
          <w:color w:val="000000"/>
          <w:sz w:val="22"/>
          <w:szCs w:val="22"/>
          <w:shd w:val="clear" w:color="auto" w:fill="FFFFFF"/>
          <w:lang w:eastAsia="zh-CN"/>
        </w:rPr>
        <w:t xml:space="preserve"> ratio for tumor tissue) for all 16 receptors varied in our simulations. The orange line is the locally weighted scatterplot smoothing</w:t>
      </w:r>
      <w:r>
        <w:rPr>
          <w:rFonts w:ascii="Arial" w:eastAsia="Times New Roman" w:hAnsi="Arial" w:cs="Arial"/>
          <w:color w:val="000000"/>
          <w:sz w:val="22"/>
          <w:szCs w:val="22"/>
          <w:shd w:val="clear" w:color="auto" w:fill="FFFFFF"/>
          <w:lang w:eastAsia="zh-CN"/>
        </w:rPr>
        <w:t xml:space="preserve"> (</w:t>
      </w:r>
      <w:r w:rsidRPr="0015069E">
        <w:rPr>
          <w:rFonts w:ascii="Arial" w:eastAsia="Times New Roman" w:hAnsi="Arial" w:cs="Arial"/>
          <w:color w:val="000000"/>
          <w:sz w:val="22"/>
          <w:szCs w:val="22"/>
          <w:shd w:val="clear" w:color="auto" w:fill="FFFFFF"/>
          <w:lang w:eastAsia="zh-CN"/>
        </w:rPr>
        <w:t>LOWESS).</w:t>
      </w:r>
    </w:p>
    <w:p w:rsidR="00C749DA"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C749DA" w:rsidRPr="00C74A55"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Supplementary F</w:t>
      </w:r>
      <w:r>
        <w:rPr>
          <w:rFonts w:ascii="Arial" w:eastAsia="Times New Roman" w:hAnsi="Arial" w:cs="Arial"/>
          <w:b/>
          <w:color w:val="000000"/>
          <w:sz w:val="22"/>
          <w:szCs w:val="22"/>
          <w:shd w:val="clear" w:color="auto" w:fill="FFFFFF"/>
          <w:lang w:eastAsia="zh-CN"/>
        </w:rPr>
        <w:t>ile</w:t>
      </w:r>
      <w:r w:rsidRPr="0015069E">
        <w:rPr>
          <w:rFonts w:ascii="Arial" w:eastAsia="Times New Roman" w:hAnsi="Arial" w:cs="Arial"/>
          <w:b/>
          <w:color w:val="000000"/>
          <w:sz w:val="22"/>
          <w:szCs w:val="22"/>
          <w:shd w:val="clear" w:color="auto" w:fill="FFFFFF"/>
          <w:lang w:eastAsia="zh-CN"/>
        </w:rPr>
        <w:t>s</w:t>
      </w:r>
    </w:p>
    <w:p w:rsidR="00C749DA" w:rsidRPr="003737B4"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Supplementary File S</w:t>
      </w:r>
      <w:r>
        <w:rPr>
          <w:rFonts w:ascii="Arial" w:eastAsia="Times New Roman" w:hAnsi="Arial" w:cs="Arial"/>
          <w:b/>
          <w:color w:val="000000"/>
          <w:sz w:val="22"/>
          <w:szCs w:val="22"/>
          <w:shd w:val="clear" w:color="auto" w:fill="FFFFFF"/>
          <w:lang w:eastAsia="zh-CN"/>
        </w:rPr>
        <w:t>1</w:t>
      </w:r>
      <w:r w:rsidRPr="0015069E">
        <w:rPr>
          <w:rFonts w:ascii="Arial" w:eastAsia="Times New Roman" w:hAnsi="Arial" w:cs="Arial"/>
          <w:b/>
          <w:color w:val="000000"/>
          <w:sz w:val="22"/>
          <w:szCs w:val="22"/>
          <w:shd w:val="clear" w:color="auto" w:fill="FFFFFF"/>
          <w:lang w:eastAsia="zh-CN"/>
        </w:rPr>
        <w:t>.</w:t>
      </w:r>
      <w:r w:rsidRPr="003737B4">
        <w:rPr>
          <w:rFonts w:ascii="Arial" w:eastAsia="Times New Roman" w:hAnsi="Arial" w:cs="Arial"/>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D</w:t>
      </w:r>
      <w:r w:rsidRPr="003737B4">
        <w:rPr>
          <w:rFonts w:ascii="Arial" w:eastAsia="Times New Roman" w:hAnsi="Arial" w:cs="Arial"/>
          <w:color w:val="000000"/>
          <w:sz w:val="22"/>
          <w:szCs w:val="22"/>
          <w:shd w:val="clear" w:color="auto" w:fill="FFFFFF"/>
          <w:lang w:eastAsia="zh-CN"/>
        </w:rPr>
        <w:t xml:space="preserve">etailed description of </w:t>
      </w:r>
      <w:proofErr w:type="spellStart"/>
      <w:r>
        <w:rPr>
          <w:rFonts w:ascii="Arial" w:eastAsia="Times New Roman" w:hAnsi="Arial" w:cs="Arial"/>
          <w:color w:val="000000"/>
          <w:sz w:val="22"/>
          <w:szCs w:val="22"/>
          <w:shd w:val="clear" w:color="auto" w:fill="FFFFFF"/>
          <w:lang w:eastAsia="zh-CN"/>
        </w:rPr>
        <w:t>BioNetGen</w:t>
      </w:r>
      <w:proofErr w:type="spellEnd"/>
      <w:r>
        <w:rPr>
          <w:rFonts w:ascii="Arial" w:eastAsia="Times New Roman" w:hAnsi="Arial" w:cs="Arial"/>
          <w:color w:val="000000"/>
          <w:sz w:val="22"/>
          <w:szCs w:val="22"/>
          <w:shd w:val="clear" w:color="auto" w:fill="FFFFFF"/>
          <w:lang w:eastAsia="zh-CN"/>
        </w:rPr>
        <w:t xml:space="preserve"> model formulation and </w:t>
      </w:r>
      <w:r w:rsidRPr="003737B4">
        <w:rPr>
          <w:rFonts w:ascii="Arial" w:eastAsia="Times New Roman" w:hAnsi="Arial" w:cs="Arial"/>
          <w:color w:val="000000"/>
          <w:sz w:val="22"/>
          <w:szCs w:val="22"/>
          <w:shd w:val="clear" w:color="auto" w:fill="FFFFFF"/>
          <w:lang w:eastAsia="zh-CN"/>
        </w:rPr>
        <w:t>parameters.</w:t>
      </w:r>
    </w:p>
    <w:p w:rsidR="00C749DA" w:rsidRDefault="00C749DA" w:rsidP="00C749DA">
      <w:pPr>
        <w:spacing w:line="360" w:lineRule="auto"/>
        <w:jc w:val="both"/>
        <w:rPr>
          <w:rFonts w:ascii="Arial" w:eastAsia="Times New Roman" w:hAnsi="Arial" w:cs="Arial"/>
          <w:b/>
          <w:color w:val="000000"/>
          <w:sz w:val="22"/>
          <w:szCs w:val="22"/>
          <w:shd w:val="clear" w:color="auto" w:fill="FFFFFF"/>
          <w:lang w:eastAsia="zh-CN"/>
        </w:rPr>
      </w:pPr>
    </w:p>
    <w:p w:rsidR="00C749DA" w:rsidRPr="003737B4" w:rsidRDefault="00C749DA" w:rsidP="00C749DA">
      <w:pPr>
        <w:spacing w:line="360" w:lineRule="auto"/>
        <w:jc w:val="both"/>
        <w:rPr>
          <w:rFonts w:ascii="Arial" w:eastAsia="Times New Roman" w:hAnsi="Arial" w:cs="Arial"/>
          <w:color w:val="000000"/>
          <w:sz w:val="22"/>
          <w:szCs w:val="22"/>
          <w:shd w:val="clear" w:color="auto" w:fill="FFFFFF"/>
          <w:lang w:eastAsia="zh-CN"/>
        </w:rPr>
      </w:pPr>
      <w:r w:rsidRPr="0015069E">
        <w:rPr>
          <w:rFonts w:ascii="Arial" w:eastAsia="Times New Roman" w:hAnsi="Arial" w:cs="Arial"/>
          <w:b/>
          <w:color w:val="000000"/>
          <w:sz w:val="22"/>
          <w:szCs w:val="22"/>
          <w:shd w:val="clear" w:color="auto" w:fill="FFFFFF"/>
          <w:lang w:eastAsia="zh-CN"/>
        </w:rPr>
        <w:t>Supplementary File S</w:t>
      </w:r>
      <w:r>
        <w:rPr>
          <w:rFonts w:ascii="Arial" w:eastAsia="Times New Roman" w:hAnsi="Arial" w:cs="Arial"/>
          <w:b/>
          <w:color w:val="000000"/>
          <w:sz w:val="22"/>
          <w:szCs w:val="22"/>
          <w:shd w:val="clear" w:color="auto" w:fill="FFFFFF"/>
          <w:lang w:eastAsia="zh-CN"/>
        </w:rPr>
        <w:t>2</w:t>
      </w:r>
      <w:r w:rsidRPr="0015069E">
        <w:rPr>
          <w:rFonts w:ascii="Arial" w:eastAsia="Times New Roman" w:hAnsi="Arial" w:cs="Arial"/>
          <w:b/>
          <w:color w:val="000000"/>
          <w:sz w:val="22"/>
          <w:szCs w:val="22"/>
          <w:shd w:val="clear" w:color="auto" w:fill="FFFFFF"/>
          <w:lang w:eastAsia="zh-CN"/>
        </w:rPr>
        <w:t>.</w:t>
      </w:r>
      <w:r w:rsidRPr="003737B4">
        <w:rPr>
          <w:rFonts w:ascii="Arial" w:eastAsia="Times New Roman" w:hAnsi="Arial" w:cs="Arial"/>
          <w:color w:val="000000"/>
          <w:sz w:val="22"/>
          <w:szCs w:val="22"/>
          <w:shd w:val="clear" w:color="auto" w:fill="FFFFFF"/>
          <w:lang w:eastAsia="zh-CN"/>
        </w:rPr>
        <w:t xml:space="preserve"> </w:t>
      </w:r>
      <w:r w:rsidRPr="004D5788">
        <w:rPr>
          <w:rFonts w:ascii="Arial" w:eastAsia="Times New Roman" w:hAnsi="Arial" w:cs="Arial"/>
          <w:bCs/>
          <w:color w:val="000000"/>
          <w:sz w:val="22"/>
          <w:szCs w:val="22"/>
          <w:shd w:val="clear" w:color="auto" w:fill="FFFFFF"/>
          <w:lang w:eastAsia="zh-CN"/>
        </w:rPr>
        <w:t xml:space="preserve">This zipped file contains the computational model </w:t>
      </w:r>
      <w:r>
        <w:rPr>
          <w:rFonts w:ascii="Arial" w:eastAsia="Times New Roman" w:hAnsi="Arial" w:cs="Arial"/>
          <w:bCs/>
          <w:color w:val="000000"/>
          <w:sz w:val="22"/>
          <w:szCs w:val="22"/>
          <w:shd w:val="clear" w:color="auto" w:fill="FFFFFF"/>
          <w:lang w:eastAsia="zh-CN"/>
        </w:rPr>
        <w:t>used to generate the results presented in this paper</w:t>
      </w:r>
      <w:r w:rsidRPr="004D5788">
        <w:rPr>
          <w:rFonts w:ascii="Arial" w:eastAsia="Times New Roman" w:hAnsi="Arial" w:cs="Arial"/>
          <w:bCs/>
          <w:color w:val="000000"/>
          <w:sz w:val="22"/>
          <w:szCs w:val="22"/>
          <w:shd w:val="clear" w:color="auto" w:fill="FFFFFF"/>
          <w:lang w:eastAsia="zh-CN"/>
        </w:rPr>
        <w:t xml:space="preserve">: </w:t>
      </w:r>
      <w:r>
        <w:rPr>
          <w:rFonts w:ascii="Arial" w:eastAsia="Times New Roman" w:hAnsi="Arial" w:cs="Arial"/>
          <w:bCs/>
          <w:color w:val="000000"/>
          <w:sz w:val="22"/>
          <w:szCs w:val="22"/>
          <w:shd w:val="clear" w:color="auto" w:fill="FFFFFF"/>
          <w:lang w:eastAsia="zh-CN"/>
        </w:rPr>
        <w:t>“</w:t>
      </w:r>
      <w:r w:rsidRPr="004D5788">
        <w:rPr>
          <w:rFonts w:ascii="Arial" w:eastAsia="Times New Roman" w:hAnsi="Arial" w:cs="Arial"/>
          <w:bCs/>
          <w:color w:val="000000"/>
          <w:sz w:val="22"/>
          <w:szCs w:val="22"/>
          <w:shd w:val="clear" w:color="auto" w:fill="FFFFFF"/>
          <w:lang w:eastAsia="zh-CN"/>
        </w:rPr>
        <w:t>TSP1_</w:t>
      </w:r>
      <w:r>
        <w:rPr>
          <w:rFonts w:ascii="Arial" w:eastAsia="Times New Roman" w:hAnsi="Arial" w:cs="Arial"/>
          <w:bCs/>
          <w:color w:val="000000"/>
          <w:sz w:val="22"/>
          <w:szCs w:val="22"/>
          <w:shd w:val="clear" w:color="auto" w:fill="FFFFFF"/>
          <w:lang w:eastAsia="zh-CN"/>
        </w:rPr>
        <w:t xml:space="preserve">VEGF_Model.m”, the MATLAB </w:t>
      </w:r>
      <w:r w:rsidRPr="004D5788">
        <w:rPr>
          <w:rFonts w:ascii="Arial" w:eastAsia="Times New Roman" w:hAnsi="Arial" w:cs="Arial"/>
          <w:bCs/>
          <w:i/>
          <w:color w:val="000000"/>
          <w:sz w:val="22"/>
          <w:szCs w:val="22"/>
          <w:shd w:val="clear" w:color="auto" w:fill="FFFFFF"/>
          <w:lang w:eastAsia="zh-CN"/>
        </w:rPr>
        <w:t>m</w:t>
      </w:r>
      <w:r>
        <w:rPr>
          <w:rFonts w:ascii="Arial" w:eastAsia="Times New Roman" w:hAnsi="Arial" w:cs="Arial"/>
          <w:bCs/>
          <w:color w:val="000000"/>
          <w:sz w:val="22"/>
          <w:szCs w:val="22"/>
          <w:shd w:val="clear" w:color="auto" w:fill="FFFFFF"/>
          <w:lang w:eastAsia="zh-CN"/>
        </w:rPr>
        <w:t>-file containing the whole-body TSP1-VEGF model; “</w:t>
      </w:r>
      <w:proofErr w:type="spellStart"/>
      <w:r w:rsidRPr="004D5788">
        <w:rPr>
          <w:rFonts w:ascii="Arial" w:eastAsia="Times New Roman" w:hAnsi="Arial" w:cs="Arial"/>
          <w:bCs/>
          <w:color w:val="000000"/>
          <w:sz w:val="22"/>
          <w:szCs w:val="22"/>
          <w:shd w:val="clear" w:color="auto" w:fill="FFFFFF"/>
          <w:lang w:eastAsia="zh-CN"/>
        </w:rPr>
        <w:t>run_baselinedynamics</w:t>
      </w:r>
      <w:r>
        <w:rPr>
          <w:rFonts w:ascii="Arial" w:eastAsia="Times New Roman" w:hAnsi="Arial" w:cs="Arial"/>
          <w:bCs/>
          <w:color w:val="000000"/>
          <w:sz w:val="22"/>
          <w:szCs w:val="22"/>
          <w:shd w:val="clear" w:color="auto" w:fill="FFFFFF"/>
          <w:lang w:eastAsia="zh-CN"/>
        </w:rPr>
        <w:t>.m</w:t>
      </w:r>
      <w:proofErr w:type="spellEnd"/>
      <w:r>
        <w:rPr>
          <w:rFonts w:ascii="Arial" w:eastAsia="Times New Roman" w:hAnsi="Arial" w:cs="Arial"/>
          <w:bCs/>
          <w:color w:val="000000"/>
          <w:sz w:val="22"/>
          <w:szCs w:val="22"/>
          <w:shd w:val="clear" w:color="auto" w:fill="FFFFFF"/>
          <w:lang w:eastAsia="zh-CN"/>
        </w:rPr>
        <w:t>”, “</w:t>
      </w:r>
      <w:proofErr w:type="spellStart"/>
      <w:r w:rsidRPr="004D5788">
        <w:rPr>
          <w:rFonts w:ascii="Arial" w:eastAsia="Times New Roman" w:hAnsi="Arial" w:cs="Arial"/>
          <w:bCs/>
          <w:color w:val="000000"/>
          <w:sz w:val="22"/>
          <w:szCs w:val="22"/>
          <w:shd w:val="clear" w:color="auto" w:fill="FFFFFF"/>
          <w:lang w:eastAsia="zh-CN"/>
        </w:rPr>
        <w:t>run_MCsimulations</w:t>
      </w:r>
      <w:r>
        <w:rPr>
          <w:rFonts w:ascii="Arial" w:eastAsia="Times New Roman" w:hAnsi="Arial" w:cs="Arial"/>
          <w:bCs/>
          <w:color w:val="000000"/>
          <w:sz w:val="22"/>
          <w:szCs w:val="22"/>
          <w:shd w:val="clear" w:color="auto" w:fill="FFFFFF"/>
          <w:lang w:eastAsia="zh-CN"/>
        </w:rPr>
        <w:t>.m</w:t>
      </w:r>
      <w:proofErr w:type="spellEnd"/>
      <w:r>
        <w:rPr>
          <w:rFonts w:ascii="Arial" w:eastAsia="Times New Roman" w:hAnsi="Arial" w:cs="Arial"/>
          <w:bCs/>
          <w:color w:val="000000"/>
          <w:sz w:val="22"/>
          <w:szCs w:val="22"/>
          <w:shd w:val="clear" w:color="auto" w:fill="FFFFFF"/>
          <w:lang w:eastAsia="zh-CN"/>
        </w:rPr>
        <w:t xml:space="preserve">”, </w:t>
      </w:r>
      <w:r w:rsidRPr="004D5788">
        <w:rPr>
          <w:rFonts w:ascii="Arial" w:eastAsia="Times New Roman" w:hAnsi="Arial" w:cs="Arial"/>
          <w:bCs/>
          <w:color w:val="000000"/>
          <w:sz w:val="22"/>
          <w:szCs w:val="22"/>
          <w:shd w:val="clear" w:color="auto" w:fill="FFFFFF"/>
          <w:lang w:eastAsia="zh-CN"/>
        </w:rPr>
        <w:t>the MATLAB</w:t>
      </w:r>
      <w:r>
        <w:rPr>
          <w:rFonts w:ascii="Arial" w:eastAsia="Times New Roman" w:hAnsi="Arial" w:cs="Arial"/>
          <w:bCs/>
          <w:color w:val="000000"/>
          <w:sz w:val="22"/>
          <w:szCs w:val="22"/>
          <w:shd w:val="clear" w:color="auto" w:fill="FFFFFF"/>
          <w:lang w:eastAsia="zh-CN"/>
        </w:rPr>
        <w:t xml:space="preserve"> scripts to run the baseline model and Monte Carlo simulations, respectively; </w:t>
      </w:r>
      <w:proofErr w:type="gramStart"/>
      <w:r>
        <w:rPr>
          <w:rFonts w:ascii="Arial" w:eastAsia="Times New Roman" w:hAnsi="Arial" w:cs="Arial"/>
          <w:bCs/>
          <w:color w:val="000000"/>
          <w:sz w:val="22"/>
          <w:szCs w:val="22"/>
          <w:shd w:val="clear" w:color="auto" w:fill="FFFFFF"/>
          <w:lang w:eastAsia="zh-CN"/>
        </w:rPr>
        <w:t xml:space="preserve">and </w:t>
      </w:r>
      <w:r w:rsidRPr="004D5788">
        <w:rPr>
          <w:rFonts w:ascii="Arial" w:eastAsia="Times New Roman" w:hAnsi="Arial" w:cs="Arial"/>
          <w:bCs/>
          <w:color w:val="000000"/>
          <w:sz w:val="22"/>
          <w:szCs w:val="22"/>
          <w:shd w:val="clear" w:color="auto" w:fill="FFFFFF"/>
          <w:lang w:eastAsia="zh-CN"/>
        </w:rPr>
        <w:t xml:space="preserve"> </w:t>
      </w:r>
      <w:r>
        <w:rPr>
          <w:rFonts w:ascii="Arial" w:eastAsia="Times New Roman" w:hAnsi="Arial" w:cs="Arial"/>
          <w:bCs/>
          <w:color w:val="000000"/>
          <w:sz w:val="22"/>
          <w:szCs w:val="22"/>
          <w:shd w:val="clear" w:color="auto" w:fill="FFFFFF"/>
          <w:lang w:eastAsia="zh-CN"/>
        </w:rPr>
        <w:t>“</w:t>
      </w:r>
      <w:proofErr w:type="spellStart"/>
      <w:proofErr w:type="gramEnd"/>
      <w:r w:rsidRPr="004D5788">
        <w:rPr>
          <w:rFonts w:ascii="Arial" w:eastAsia="Times New Roman" w:hAnsi="Arial" w:cs="Arial"/>
          <w:bCs/>
          <w:color w:val="000000"/>
          <w:sz w:val="22"/>
          <w:szCs w:val="22"/>
          <w:shd w:val="clear" w:color="auto" w:fill="FFFFFF"/>
          <w:lang w:eastAsia="zh-CN"/>
        </w:rPr>
        <w:t>findParamValue_Rec</w:t>
      </w:r>
      <w:r>
        <w:rPr>
          <w:rFonts w:ascii="Arial" w:eastAsia="Times New Roman" w:hAnsi="Arial" w:cs="Arial"/>
          <w:bCs/>
          <w:color w:val="000000"/>
          <w:sz w:val="22"/>
          <w:szCs w:val="22"/>
          <w:shd w:val="clear" w:color="auto" w:fill="FFFFFF"/>
          <w:lang w:eastAsia="zh-CN"/>
        </w:rPr>
        <w:t>.m</w:t>
      </w:r>
      <w:proofErr w:type="spellEnd"/>
      <w:r>
        <w:rPr>
          <w:rFonts w:ascii="Arial" w:eastAsia="Times New Roman" w:hAnsi="Arial" w:cs="Arial"/>
          <w:bCs/>
          <w:color w:val="000000"/>
          <w:sz w:val="22"/>
          <w:szCs w:val="22"/>
          <w:shd w:val="clear" w:color="auto" w:fill="FFFFFF"/>
          <w:lang w:eastAsia="zh-CN"/>
        </w:rPr>
        <w:t xml:space="preserve">” the MATLAB script to randomly generate the receptor number. </w:t>
      </w:r>
    </w:p>
    <w:p w:rsidR="00C749DA" w:rsidRPr="003737B4" w:rsidRDefault="00C749DA" w:rsidP="00C749DA">
      <w:pPr>
        <w:spacing w:line="360" w:lineRule="auto"/>
        <w:jc w:val="both"/>
        <w:rPr>
          <w:rFonts w:ascii="Arial" w:eastAsia="Times New Roman" w:hAnsi="Arial" w:cs="Arial"/>
          <w:color w:val="000000"/>
          <w:sz w:val="22"/>
          <w:szCs w:val="22"/>
          <w:shd w:val="clear" w:color="auto" w:fill="FFFFFF"/>
          <w:lang w:eastAsia="zh-CN"/>
        </w:rPr>
      </w:pPr>
    </w:p>
    <w:p w:rsidR="00366252" w:rsidRPr="003B10B5" w:rsidRDefault="00366252">
      <w:pPr>
        <w:rPr>
          <w:rFonts w:ascii="Arial" w:eastAsia="Times New Roman" w:hAnsi="Arial" w:cs="Arial"/>
          <w:b/>
          <w:color w:val="000000"/>
          <w:sz w:val="22"/>
          <w:szCs w:val="22"/>
          <w:shd w:val="clear" w:color="auto" w:fill="FFFFFF"/>
          <w:lang w:eastAsia="zh-CN"/>
        </w:rPr>
      </w:pPr>
      <w:bookmarkStart w:id="0" w:name="_GoBack"/>
      <w:bookmarkEnd w:id="0"/>
    </w:p>
    <w:sectPr w:rsidR="00366252" w:rsidRPr="003B10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9DA"/>
    <w:rsid w:val="00366252"/>
    <w:rsid w:val="003B10B5"/>
    <w:rsid w:val="00C749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3E123"/>
  <w15:chartTrackingRefBased/>
  <w15:docId w15:val="{D874777A-4046-4CBF-885E-59030B4D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9DA"/>
    <w:pPr>
      <w:spacing w:after="0" w:line="240" w:lineRule="auto"/>
    </w:pPr>
    <w:rPr>
      <w:rFonts w:eastAsia="SimSu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1880</Words>
  <Characters>10720</Characters>
  <Application>Microsoft Office Word</Application>
  <DocSecurity>0</DocSecurity>
  <Lines>89</Lines>
  <Paragraphs>25</Paragraphs>
  <ScaleCrop>false</ScaleCrop>
  <Company>Royal Society of Chemistry</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Warncke</dc:creator>
  <cp:keywords/>
  <dc:description/>
  <cp:lastModifiedBy>Linda Warncke</cp:lastModifiedBy>
  <cp:revision>2</cp:revision>
  <dcterms:created xsi:type="dcterms:W3CDTF">2018-03-21T17:32:00Z</dcterms:created>
  <dcterms:modified xsi:type="dcterms:W3CDTF">2018-03-21T17:37:00Z</dcterms:modified>
</cp:coreProperties>
</file>