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593" w:rsidRPr="00333331" w:rsidRDefault="00F23593" w:rsidP="00F23593">
      <w:pPr>
        <w:spacing w:line="360" w:lineRule="auto"/>
        <w:rPr>
          <w:rFonts w:ascii="Arial" w:hAnsi="Arial"/>
          <w:b/>
          <w:color w:val="000000" w:themeColor="text1"/>
          <w:sz w:val="20"/>
          <w:szCs w:val="20"/>
        </w:rPr>
      </w:pPr>
      <w:bookmarkStart w:id="0" w:name="_GoBack"/>
      <w:bookmarkEnd w:id="0"/>
      <w:r w:rsidRPr="00333331">
        <w:rPr>
          <w:rFonts w:ascii="Arial" w:hAnsi="Arial"/>
          <w:b/>
          <w:color w:val="000000" w:themeColor="text1"/>
          <w:sz w:val="20"/>
          <w:szCs w:val="20"/>
        </w:rPr>
        <w:t>Supplemental Figure and Table Legends</w:t>
      </w:r>
    </w:p>
    <w:p w:rsidR="00F23593" w:rsidRPr="00333331" w:rsidRDefault="00F23593" w:rsidP="00F23593">
      <w:pPr>
        <w:spacing w:line="360" w:lineRule="auto"/>
        <w:rPr>
          <w:rFonts w:ascii="Arial" w:hAnsi="Arial"/>
          <w:b/>
          <w:color w:val="000000" w:themeColor="text1"/>
          <w:sz w:val="20"/>
          <w:szCs w:val="20"/>
        </w:rPr>
      </w:pPr>
      <w:r w:rsidRPr="00333331">
        <w:rPr>
          <w:rFonts w:ascii="Arial" w:hAnsi="Arial"/>
          <w:b/>
          <w:color w:val="000000" w:themeColor="text1"/>
          <w:sz w:val="20"/>
          <w:szCs w:val="20"/>
        </w:rPr>
        <w:t xml:space="preserve">Figure S1. </w:t>
      </w:r>
      <w:r w:rsidRPr="00333331">
        <w:rPr>
          <w:rFonts w:ascii="Arial" w:hAnsi="Arial"/>
          <w:color w:val="000000" w:themeColor="text1"/>
          <w:sz w:val="20"/>
          <w:szCs w:val="20"/>
        </w:rPr>
        <w:t xml:space="preserve">SOX4 protein expression in </w:t>
      </w:r>
      <w:r w:rsidRPr="00333331">
        <w:rPr>
          <w:rFonts w:ascii="Arial" w:hAnsi="Arial"/>
          <w:color w:val="000000" w:themeColor="text1"/>
          <w:sz w:val="20"/>
          <w:szCs w:val="20"/>
          <w:lang w:val="en-US"/>
        </w:rPr>
        <w:t>Lin-CD34+EML and Lin-CD34-EML cells. Western blot shows SOX4 protein expression level is higher in</w:t>
      </w:r>
      <w:r w:rsidRPr="00333331">
        <w:rPr>
          <w:rFonts w:ascii="Arial" w:hAnsi="Arial"/>
          <w:color w:val="000000" w:themeColor="text1"/>
          <w:sz w:val="20"/>
          <w:szCs w:val="20"/>
        </w:rPr>
        <w:t xml:space="preserve"> Lin-CD34+EML</w:t>
      </w:r>
      <w:r w:rsidRPr="00333331">
        <w:rPr>
          <w:rFonts w:ascii="Arial" w:hAnsi="Arial"/>
          <w:color w:val="000000" w:themeColor="text1"/>
          <w:sz w:val="20"/>
          <w:szCs w:val="20"/>
          <w:lang w:val="en-US"/>
        </w:rPr>
        <w:t xml:space="preserve"> cells compared with </w:t>
      </w:r>
      <w:r w:rsidRPr="00333331">
        <w:rPr>
          <w:rFonts w:ascii="Arial" w:hAnsi="Arial"/>
          <w:color w:val="000000" w:themeColor="text1"/>
          <w:sz w:val="20"/>
          <w:szCs w:val="20"/>
        </w:rPr>
        <w:t>Lin-CD34-EML</w:t>
      </w:r>
      <w:r w:rsidRPr="00333331">
        <w:rPr>
          <w:rFonts w:ascii="Arial" w:hAnsi="Arial"/>
          <w:color w:val="000000" w:themeColor="text1"/>
          <w:sz w:val="20"/>
          <w:szCs w:val="20"/>
          <w:lang w:val="en-US"/>
        </w:rPr>
        <w:t xml:space="preserve"> cells.</w:t>
      </w:r>
    </w:p>
    <w:p w:rsidR="00F23593" w:rsidRPr="00333331" w:rsidRDefault="00F23593" w:rsidP="00F23593">
      <w:pPr>
        <w:spacing w:before="120" w:after="120" w:line="480" w:lineRule="auto"/>
        <w:outlineLvl w:val="0"/>
        <w:rPr>
          <w:rFonts w:ascii="Arial" w:hAnsi="Arial"/>
          <w:color w:val="000000" w:themeColor="text1"/>
          <w:sz w:val="20"/>
          <w:szCs w:val="20"/>
          <w:lang w:val="en-US"/>
        </w:rPr>
      </w:pPr>
      <w:r w:rsidRPr="00333331">
        <w:rPr>
          <w:rFonts w:ascii="Arial" w:hAnsi="Arial"/>
          <w:b/>
          <w:color w:val="000000" w:themeColor="text1"/>
          <w:sz w:val="20"/>
          <w:szCs w:val="20"/>
          <w:lang w:val="en-US"/>
        </w:rPr>
        <w:t xml:space="preserve">Table S1. </w:t>
      </w:r>
      <w:r w:rsidRPr="00333331">
        <w:rPr>
          <w:rFonts w:ascii="Arial" w:hAnsi="Arial"/>
          <w:color w:val="000000" w:themeColor="text1"/>
          <w:sz w:val="20"/>
          <w:szCs w:val="20"/>
          <w:lang w:val="en-US"/>
        </w:rPr>
        <w:t>List of proteins identified by MS.</w:t>
      </w:r>
    </w:p>
    <w:p w:rsidR="00F23593" w:rsidRPr="00333331" w:rsidRDefault="00F23593" w:rsidP="00F23593">
      <w:pPr>
        <w:spacing w:before="120" w:after="120" w:line="480" w:lineRule="auto"/>
        <w:outlineLvl w:val="0"/>
        <w:rPr>
          <w:rFonts w:ascii="Arial" w:hAnsi="Arial"/>
          <w:color w:val="000000" w:themeColor="text1"/>
          <w:sz w:val="20"/>
          <w:szCs w:val="20"/>
          <w:lang w:val="en-US"/>
        </w:rPr>
      </w:pPr>
      <w:r w:rsidRPr="00333331">
        <w:rPr>
          <w:rFonts w:ascii="Arial" w:hAnsi="Arial"/>
          <w:b/>
          <w:color w:val="000000" w:themeColor="text1"/>
          <w:sz w:val="20"/>
          <w:szCs w:val="20"/>
          <w:lang w:val="en-US"/>
        </w:rPr>
        <w:t>Table S2.</w:t>
      </w:r>
      <w:r w:rsidRPr="00333331">
        <w:rPr>
          <w:rFonts w:ascii="Arial" w:hAnsi="Arial"/>
          <w:color w:val="000000" w:themeColor="text1"/>
          <w:sz w:val="20"/>
          <w:szCs w:val="20"/>
        </w:rPr>
        <w:t xml:space="preserve"> </w:t>
      </w:r>
      <w:r w:rsidRPr="00333331">
        <w:rPr>
          <w:rFonts w:ascii="Arial" w:hAnsi="Arial"/>
          <w:color w:val="000000" w:themeColor="text1"/>
          <w:sz w:val="20"/>
          <w:szCs w:val="20"/>
          <w:lang w:val="en-US"/>
        </w:rPr>
        <w:t>Transcription factor binding motifs enriched in Lin-CD34+EML open chromatin regions.</w:t>
      </w:r>
    </w:p>
    <w:p w:rsidR="00F23593" w:rsidRPr="00333331" w:rsidRDefault="00F23593" w:rsidP="00F23593">
      <w:pPr>
        <w:spacing w:before="120" w:after="120" w:line="480" w:lineRule="auto"/>
        <w:rPr>
          <w:rFonts w:ascii="Arial" w:hAnsi="Arial"/>
          <w:color w:val="000000" w:themeColor="text1"/>
          <w:sz w:val="20"/>
          <w:szCs w:val="20"/>
          <w:lang w:val="en-US"/>
        </w:rPr>
      </w:pPr>
      <w:r w:rsidRPr="00333331">
        <w:rPr>
          <w:rFonts w:ascii="Arial" w:hAnsi="Arial"/>
          <w:b/>
          <w:color w:val="000000" w:themeColor="text1"/>
          <w:sz w:val="20"/>
          <w:szCs w:val="20"/>
          <w:lang w:val="en-US"/>
        </w:rPr>
        <w:t xml:space="preserve">Table S3. </w:t>
      </w:r>
      <w:r w:rsidRPr="00333331">
        <w:rPr>
          <w:rFonts w:ascii="Arial" w:hAnsi="Arial"/>
          <w:color w:val="000000" w:themeColor="text1"/>
          <w:sz w:val="20"/>
          <w:szCs w:val="20"/>
          <w:lang w:val="en-US"/>
        </w:rPr>
        <w:t>ATAC-</w:t>
      </w:r>
      <w:proofErr w:type="spellStart"/>
      <w:r w:rsidRPr="00333331">
        <w:rPr>
          <w:rFonts w:ascii="Arial" w:hAnsi="Arial"/>
          <w:color w:val="000000" w:themeColor="text1"/>
          <w:sz w:val="20"/>
          <w:szCs w:val="20"/>
          <w:lang w:val="en-US"/>
        </w:rPr>
        <w:t>Seq</w:t>
      </w:r>
      <w:proofErr w:type="spellEnd"/>
      <w:r w:rsidRPr="00333331">
        <w:rPr>
          <w:rFonts w:ascii="Arial" w:hAnsi="Arial"/>
          <w:color w:val="000000" w:themeColor="text1"/>
          <w:sz w:val="20"/>
          <w:szCs w:val="20"/>
          <w:lang w:val="en-US"/>
        </w:rPr>
        <w:t xml:space="preserve"> peaks and </w:t>
      </w:r>
      <w:proofErr w:type="spellStart"/>
      <w:r w:rsidRPr="00333331">
        <w:rPr>
          <w:rFonts w:ascii="Arial" w:hAnsi="Arial"/>
          <w:color w:val="000000" w:themeColor="text1"/>
          <w:sz w:val="20"/>
          <w:szCs w:val="20"/>
          <w:lang w:val="en-US"/>
        </w:rPr>
        <w:t>ChIP-Seq</w:t>
      </w:r>
      <w:proofErr w:type="spellEnd"/>
      <w:r w:rsidRPr="00333331">
        <w:rPr>
          <w:rFonts w:ascii="Arial" w:hAnsi="Arial"/>
          <w:color w:val="000000" w:themeColor="text1"/>
          <w:sz w:val="20"/>
          <w:szCs w:val="20"/>
          <w:lang w:val="en-US"/>
        </w:rPr>
        <w:t xml:space="preserve"> peaks within the top 50 differentially expressed genes.</w:t>
      </w:r>
    </w:p>
    <w:p w:rsidR="00F23593" w:rsidRPr="00333331" w:rsidRDefault="00F23593" w:rsidP="00F23593">
      <w:pPr>
        <w:spacing w:before="120" w:after="120" w:line="480" w:lineRule="auto"/>
        <w:rPr>
          <w:rFonts w:ascii="Arial" w:hAnsi="Arial"/>
          <w:color w:val="000000" w:themeColor="text1"/>
          <w:sz w:val="20"/>
          <w:szCs w:val="20"/>
          <w:lang w:val="en-US"/>
        </w:rPr>
      </w:pPr>
      <w:r w:rsidRPr="00333331">
        <w:rPr>
          <w:rFonts w:ascii="Arial" w:hAnsi="Arial"/>
          <w:b/>
          <w:color w:val="000000" w:themeColor="text1"/>
          <w:sz w:val="20"/>
          <w:szCs w:val="20"/>
          <w:lang w:val="en-US"/>
        </w:rPr>
        <w:t xml:space="preserve">Table S4. </w:t>
      </w:r>
      <w:r w:rsidRPr="00333331">
        <w:rPr>
          <w:rFonts w:ascii="Arial" w:hAnsi="Arial"/>
          <w:color w:val="000000" w:themeColor="text1"/>
          <w:sz w:val="20"/>
          <w:szCs w:val="20"/>
          <w:lang w:val="en-US"/>
        </w:rPr>
        <w:t xml:space="preserve">Combined list of </w:t>
      </w:r>
      <w:proofErr w:type="spellStart"/>
      <w:r w:rsidRPr="00333331">
        <w:rPr>
          <w:rFonts w:ascii="Arial" w:hAnsi="Arial"/>
          <w:color w:val="000000" w:themeColor="text1"/>
          <w:sz w:val="20"/>
          <w:szCs w:val="20"/>
          <w:lang w:val="en-US"/>
        </w:rPr>
        <w:t>ChIP-Seq</w:t>
      </w:r>
      <w:proofErr w:type="spellEnd"/>
      <w:r w:rsidRPr="00333331">
        <w:rPr>
          <w:rFonts w:ascii="Arial" w:hAnsi="Arial"/>
          <w:color w:val="000000" w:themeColor="text1"/>
          <w:sz w:val="20"/>
          <w:szCs w:val="20"/>
          <w:lang w:val="en-US"/>
        </w:rPr>
        <w:t xml:space="preserve"> targets of TCF7, RUNX1, STAT3, and SOX4 with NCBI protein-protein interactions in mouse. SOX4 and STAT3 </w:t>
      </w:r>
      <w:proofErr w:type="spellStart"/>
      <w:r w:rsidRPr="00333331">
        <w:rPr>
          <w:rFonts w:ascii="Arial" w:hAnsi="Arial"/>
          <w:color w:val="000000" w:themeColor="text1"/>
          <w:sz w:val="20"/>
          <w:szCs w:val="20"/>
          <w:lang w:val="en-US"/>
        </w:rPr>
        <w:t>ChIP-Seq</w:t>
      </w:r>
      <w:proofErr w:type="spellEnd"/>
      <w:r w:rsidRPr="00333331">
        <w:rPr>
          <w:rFonts w:ascii="Arial" w:hAnsi="Arial"/>
          <w:color w:val="000000" w:themeColor="text1"/>
          <w:sz w:val="20"/>
          <w:szCs w:val="20"/>
          <w:lang w:val="en-US"/>
        </w:rPr>
        <w:t xml:space="preserve"> peaks were filtered according to FDR &lt;0.05 and enrichment &gt;10. TCF7 and RUNX1 </w:t>
      </w:r>
      <w:proofErr w:type="spellStart"/>
      <w:r w:rsidRPr="00333331">
        <w:rPr>
          <w:rFonts w:ascii="Arial" w:hAnsi="Arial"/>
          <w:color w:val="000000" w:themeColor="text1"/>
          <w:sz w:val="20"/>
          <w:szCs w:val="20"/>
          <w:lang w:val="en-US"/>
        </w:rPr>
        <w:t>ChIP-Seq</w:t>
      </w:r>
      <w:proofErr w:type="spellEnd"/>
      <w:r w:rsidRPr="00333331">
        <w:rPr>
          <w:rFonts w:ascii="Arial" w:hAnsi="Arial"/>
          <w:color w:val="000000" w:themeColor="text1"/>
          <w:sz w:val="20"/>
          <w:szCs w:val="20"/>
          <w:lang w:val="en-US"/>
        </w:rPr>
        <w:t xml:space="preserve"> peaks were obtained from the results of our previous research</w:t>
      </w:r>
      <w:r w:rsidRPr="00333331">
        <w:rPr>
          <w:rFonts w:ascii="Arial" w:hAnsi="Arial"/>
          <w:color w:val="000000" w:themeColor="text1"/>
          <w:sz w:val="20"/>
          <w:szCs w:val="20"/>
          <w:lang w:val="es-ES_tradnl"/>
        </w:rPr>
        <w:fldChar w:fldCharType="begin"/>
      </w:r>
      <w:r w:rsidRPr="00333331">
        <w:rPr>
          <w:rFonts w:ascii="Arial" w:hAnsi="Arial"/>
          <w:color w:val="000000" w:themeColor="text1"/>
          <w:sz w:val="20"/>
          <w:szCs w:val="20"/>
          <w:lang w:val="en-US"/>
        </w:rPr>
        <w:instrText xml:space="preserve"> ADDIN EN.CITE &lt;EndNote&gt;&lt;Cite&gt;&lt;Author&gt;Wu&lt;/Author&gt;&lt;Year&gt;2012&lt;/Year&gt;&lt;RecNum&gt;11&lt;/RecNum&gt;&lt;DisplayText&gt;&lt;style face="superscript"&gt;3&lt;/style&gt;&lt;/DisplayText&gt;&lt;record&gt;&lt;rec-number&gt;11&lt;/rec-number&gt;&lt;foreign-keys&gt;&lt;key app="EN" db-id="ffz509zs7ax297esf07v2armz9wp50t0de02" timestamp="1479245139"&gt;11&lt;/key&gt;&lt;key app="ENWeb" db-id=""&gt;0&lt;/key&gt;&lt;/foreign-keys&gt;&lt;ref-type name="Journal Article"&gt;17&lt;/ref-type&gt;&lt;contributors&gt;&lt;authors&gt;&lt;author&gt;Wu, Jia Qian&lt;/author&gt;&lt;author&gt;Seay, Montrell&lt;/author&gt;&lt;author&gt;Schulz, Vincent P.&lt;/author&gt;&lt;author&gt;Hariharan, Manoj&lt;/author&gt;&lt;author&gt;Tuck, David&lt;/author&gt;&lt;author&gt;Lian, Jin&lt;/author&gt;&lt;author&gt;Du, Jiang&lt;/author&gt;&lt;author&gt;Shi, Minyi&lt;/author&gt;&lt;author&gt;Ye, Zhijia&lt;/author&gt;&lt;author&gt;Gerstein, Mark&lt;/author&gt;&lt;author&gt;Snyder, Michael P.&lt;/author&gt;&lt;author&gt;Weissman, Sherman&lt;/author&gt;&lt;/authors&gt;&lt;/contributors&gt;&lt;titles&gt;&lt;title&gt;Tcf7 Is an Important Regulator of the Switch of Self-Renewal and Differentiation in a Multipotential Hematopoietic Cell Line&lt;/title&gt;&lt;secondary-title&gt;PLoS Genetics&lt;/secondary-title&gt;&lt;/titles&gt;&lt;periodical&gt;&lt;full-title&gt;PLoS Genetics&lt;/full-title&gt;&lt;/periodical&gt;&lt;pages&gt;e1002565&lt;/pages&gt;&lt;volume&gt;8&lt;/volume&gt;&lt;number&gt;3&lt;/number&gt;&lt;dates&gt;&lt;year&gt;2012&lt;/year&gt;&lt;/dates&gt;&lt;isbn&gt;1553-7404&lt;/isbn&gt;&lt;urls&gt;&lt;/urls&gt;&lt;electronic-resource-num&gt;10.1371/journal.pgen.1002565&lt;/electronic-resource-num&gt;&lt;/record&gt;&lt;/Cite&gt;&lt;/EndNote&gt;</w:instrText>
      </w:r>
      <w:r w:rsidRPr="00333331">
        <w:rPr>
          <w:rFonts w:ascii="Arial" w:hAnsi="Arial"/>
          <w:color w:val="000000" w:themeColor="text1"/>
          <w:sz w:val="20"/>
          <w:szCs w:val="20"/>
          <w:lang w:val="es-ES_tradnl"/>
        </w:rPr>
        <w:fldChar w:fldCharType="separate"/>
      </w:r>
      <w:r w:rsidRPr="00333331">
        <w:rPr>
          <w:rFonts w:ascii="Arial" w:hAnsi="Arial"/>
          <w:noProof/>
          <w:color w:val="000000" w:themeColor="text1"/>
          <w:sz w:val="20"/>
          <w:szCs w:val="20"/>
          <w:vertAlign w:val="superscript"/>
          <w:lang w:val="en-US"/>
        </w:rPr>
        <w:t>3</w:t>
      </w:r>
      <w:r w:rsidRPr="00333331">
        <w:rPr>
          <w:rFonts w:ascii="Arial" w:hAnsi="Arial"/>
          <w:color w:val="000000" w:themeColor="text1"/>
          <w:sz w:val="20"/>
          <w:szCs w:val="20"/>
          <w:lang w:val="es-ES_tradnl"/>
        </w:rPr>
        <w:fldChar w:fldCharType="end"/>
      </w:r>
      <w:r w:rsidRPr="00333331">
        <w:rPr>
          <w:rFonts w:ascii="Arial" w:hAnsi="Arial"/>
          <w:color w:val="000000" w:themeColor="text1"/>
          <w:sz w:val="20"/>
          <w:szCs w:val="20"/>
          <w:lang w:val="en-US"/>
        </w:rPr>
        <w:t>. Genes were filtered leaving only those with RPKM &gt;</w:t>
      </w:r>
      <w:proofErr w:type="gramStart"/>
      <w:r w:rsidRPr="00333331">
        <w:rPr>
          <w:rFonts w:ascii="Arial" w:hAnsi="Arial"/>
          <w:color w:val="000000" w:themeColor="text1"/>
          <w:sz w:val="20"/>
          <w:szCs w:val="20"/>
          <w:lang w:val="en-US"/>
        </w:rPr>
        <w:t>1</w:t>
      </w:r>
      <w:proofErr w:type="gramEnd"/>
      <w:r w:rsidRPr="00333331">
        <w:rPr>
          <w:rFonts w:ascii="Arial" w:hAnsi="Arial"/>
          <w:color w:val="000000" w:themeColor="text1"/>
          <w:sz w:val="20"/>
          <w:szCs w:val="20"/>
          <w:lang w:val="en-US"/>
        </w:rPr>
        <w:t xml:space="preserve"> in at least one of the samples and expression fold-change &gt;1.5 (up- or downregulated). </w:t>
      </w:r>
    </w:p>
    <w:p w:rsidR="00F23593" w:rsidRPr="00333331" w:rsidRDefault="00F23593" w:rsidP="00F23593">
      <w:pPr>
        <w:spacing w:before="120" w:after="120" w:line="480" w:lineRule="auto"/>
        <w:rPr>
          <w:rFonts w:ascii="Arial" w:hAnsi="Arial"/>
          <w:color w:val="000000" w:themeColor="text1"/>
          <w:sz w:val="20"/>
          <w:szCs w:val="20"/>
          <w:lang w:val="en-US"/>
        </w:rPr>
      </w:pPr>
      <w:r w:rsidRPr="00333331">
        <w:rPr>
          <w:rFonts w:ascii="Arial" w:hAnsi="Arial"/>
          <w:b/>
          <w:color w:val="000000" w:themeColor="text1"/>
          <w:sz w:val="20"/>
          <w:szCs w:val="20"/>
          <w:lang w:val="en-US"/>
        </w:rPr>
        <w:t xml:space="preserve">Table S5: </w:t>
      </w:r>
      <w:r w:rsidRPr="00333331">
        <w:rPr>
          <w:rFonts w:ascii="Arial" w:eastAsia="Times New Roman" w:hAnsi="Arial"/>
          <w:color w:val="000000" w:themeColor="text1"/>
          <w:sz w:val="20"/>
          <w:szCs w:val="20"/>
          <w:lang w:eastAsia="es-ES_tradnl"/>
        </w:rPr>
        <w:t xml:space="preserve">Graph-based clustering </w:t>
      </w:r>
      <w:r w:rsidRPr="00333331">
        <w:rPr>
          <w:rFonts w:ascii="Arial" w:hAnsi="Arial"/>
          <w:color w:val="000000" w:themeColor="text1"/>
          <w:sz w:val="20"/>
          <w:szCs w:val="20"/>
          <w:lang w:val="en-US"/>
        </w:rPr>
        <w:t xml:space="preserve">of genes from inferred regulatory network and gene-set enrichment. Gene-sets were considered enriched if FDR &lt; 0.001, p-value &lt; 0.00001, and number of genes &gt; 10.  </w:t>
      </w:r>
    </w:p>
    <w:p w:rsidR="00F23593" w:rsidRPr="00333331" w:rsidRDefault="00F23593" w:rsidP="00F23593">
      <w:pPr>
        <w:spacing w:before="120" w:after="120" w:line="480" w:lineRule="auto"/>
        <w:outlineLvl w:val="0"/>
        <w:rPr>
          <w:rFonts w:ascii="Arial" w:hAnsi="Arial"/>
          <w:color w:val="000000" w:themeColor="text1"/>
          <w:sz w:val="20"/>
          <w:szCs w:val="20"/>
          <w:lang w:val="en-US"/>
        </w:rPr>
      </w:pPr>
      <w:r w:rsidRPr="00333331">
        <w:rPr>
          <w:rFonts w:ascii="Arial" w:hAnsi="Arial"/>
          <w:b/>
          <w:color w:val="000000" w:themeColor="text1"/>
          <w:sz w:val="20"/>
          <w:szCs w:val="20"/>
          <w:lang w:val="en-US"/>
        </w:rPr>
        <w:t xml:space="preserve">Table S6: </w:t>
      </w:r>
      <w:r w:rsidRPr="00333331">
        <w:rPr>
          <w:rFonts w:ascii="Arial" w:hAnsi="Arial"/>
          <w:color w:val="000000" w:themeColor="text1"/>
          <w:sz w:val="20"/>
          <w:szCs w:val="20"/>
          <w:lang w:val="en-US"/>
        </w:rPr>
        <w:t>Real-time PCR and ATAC-</w:t>
      </w:r>
      <w:proofErr w:type="spellStart"/>
      <w:r w:rsidRPr="00333331">
        <w:rPr>
          <w:rFonts w:ascii="Arial" w:hAnsi="Arial"/>
          <w:color w:val="000000" w:themeColor="text1"/>
          <w:sz w:val="20"/>
          <w:szCs w:val="20"/>
          <w:lang w:val="en-US"/>
        </w:rPr>
        <w:t>Seq</w:t>
      </w:r>
      <w:proofErr w:type="spellEnd"/>
      <w:r w:rsidRPr="00333331">
        <w:rPr>
          <w:rFonts w:ascii="Arial" w:hAnsi="Arial"/>
          <w:b/>
          <w:color w:val="000000" w:themeColor="text1"/>
          <w:sz w:val="20"/>
          <w:szCs w:val="20"/>
          <w:lang w:val="en-US"/>
        </w:rPr>
        <w:t xml:space="preserve"> </w:t>
      </w:r>
      <w:r w:rsidRPr="00333331">
        <w:rPr>
          <w:rFonts w:ascii="Arial" w:hAnsi="Arial"/>
          <w:color w:val="000000" w:themeColor="text1"/>
          <w:sz w:val="20"/>
          <w:szCs w:val="20"/>
          <w:lang w:val="en-US"/>
        </w:rPr>
        <w:t>Primer</w:t>
      </w:r>
      <w:r w:rsidRPr="00333331">
        <w:rPr>
          <w:rFonts w:ascii="Arial" w:hAnsi="Arial"/>
          <w:b/>
          <w:color w:val="000000" w:themeColor="text1"/>
          <w:sz w:val="20"/>
          <w:szCs w:val="20"/>
          <w:lang w:val="en-US"/>
        </w:rPr>
        <w:t xml:space="preserve"> </w:t>
      </w:r>
      <w:r w:rsidRPr="00333331">
        <w:rPr>
          <w:rFonts w:ascii="Arial" w:hAnsi="Arial"/>
          <w:color w:val="000000" w:themeColor="text1"/>
          <w:sz w:val="20"/>
          <w:szCs w:val="20"/>
          <w:lang w:val="en-US"/>
        </w:rPr>
        <w:t>Sequences.</w:t>
      </w:r>
    </w:p>
    <w:p w:rsidR="00204D0D" w:rsidRDefault="00204D0D"/>
    <w:sectPr w:rsidR="00204D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593"/>
    <w:rsid w:val="00204D0D"/>
    <w:rsid w:val="00F23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7C5CEA-C516-45BA-98A8-CBEB48E7B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3593"/>
    <w:rPr>
      <w:rFonts w:ascii="Calibri" w:eastAsia="SimSun" w:hAnsi="Calibri" w:cs="Arial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Society of Chemistry</Company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Warncke</dc:creator>
  <cp:keywords/>
  <dc:description/>
  <cp:lastModifiedBy>Linda Warncke</cp:lastModifiedBy>
  <cp:revision>1</cp:revision>
  <dcterms:created xsi:type="dcterms:W3CDTF">2018-05-31T11:33:00Z</dcterms:created>
  <dcterms:modified xsi:type="dcterms:W3CDTF">2018-05-31T11:34:00Z</dcterms:modified>
</cp:coreProperties>
</file>