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C0" w:rsidRPr="00D43B10" w:rsidRDefault="005E51C0" w:rsidP="005E51C0">
      <w:pPr>
        <w:pStyle w:val="Caption"/>
        <w:keepNext/>
        <w:rPr>
          <w:noProof/>
          <w:color w:val="auto"/>
          <w:sz w:val="22"/>
          <w:szCs w:val="22"/>
        </w:rPr>
      </w:pPr>
      <w:bookmarkStart w:id="0" w:name="_GoBack"/>
      <w:bookmarkEnd w:id="0"/>
      <w:r w:rsidRPr="00D43B10">
        <w:rPr>
          <w:color w:val="auto"/>
          <w:sz w:val="22"/>
          <w:szCs w:val="22"/>
        </w:rPr>
        <w:t>Table S</w:t>
      </w:r>
      <w:r>
        <w:rPr>
          <w:color w:val="auto"/>
          <w:sz w:val="22"/>
          <w:szCs w:val="22"/>
        </w:rPr>
        <w:t>3</w:t>
      </w:r>
      <w:r>
        <w:rPr>
          <w:noProof/>
          <w:color w:val="auto"/>
          <w:sz w:val="22"/>
          <w:szCs w:val="22"/>
        </w:rPr>
        <w:t>: compilation of QSPRs for chlorination HOCl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9"/>
        <w:gridCol w:w="5039"/>
        <w:gridCol w:w="902"/>
        <w:gridCol w:w="808"/>
        <w:gridCol w:w="2912"/>
        <w:gridCol w:w="2218"/>
      </w:tblGrid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Endpoint</w:t>
            </w:r>
          </w:p>
        </w:tc>
        <w:tc>
          <w:tcPr>
            <w:tcW w:w="1851" w:type="pct"/>
            <w:shd w:val="clear" w:color="auto" w:fill="auto"/>
            <w:noWrap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Equation</w:t>
            </w: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and/or model specifications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</w:t>
            </w:r>
            <w:r w:rsidRPr="0051626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1070" w:type="pct"/>
            <w:shd w:val="clear" w:color="auto" w:fill="auto"/>
            <w:noWrap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Description of training set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Reference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Second-order rate constants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kPhO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-) = 4.46 (+-0.15) - 4.90 (+-0.44) SIGMA(s-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o,m,p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Dissociated phenols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(k3amine) = 4.79 (+-0.29) - 1.96 (+-0.80) SIGMA(s*)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Tertiary amines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(k1amine) = 9.70 (+-0.32) - 2.10 (+-0.18) SIGMA(s*)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Primary amines &amp; amine derivatives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log(kO3)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logkaromatic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(O3) = 4.50 (+-0.38) + 0.96 (+-0.11)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logkaromatic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This QSPR can  convert log(KO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bscript"/>
              </w:rPr>
              <w:t>3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and 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into each other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Aromatics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Lee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(2012)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Second-order rate constants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log(k4) = 44.34.3 - 2.1SIGMA(s*)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0.975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dissociated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hloro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 and br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omophenols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Acero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(2005)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F51F98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</w:t>
            </w:r>
            <w:proofErr w:type="spellStart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kArO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 = - (10.7 +- 2.2)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Σσ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o,m,p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+ 4.43 (+-0.35),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dissociated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hlorophenols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Rule et al. (2005), Chen (2015)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(log(k3)) Rate constant for phenol +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H+ &gt; products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F51F98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log(k3) = 2.37-4.26 (+-0.29) SIGMA(</w:t>
            </w:r>
            <w:proofErr w:type="spellStart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 o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,m,p),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Para-substituted phenols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Gallard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(2002), Chen et al (2015)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(log(k3)) Rate constant for phenol +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H+ &gt; products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F51F98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log(k3) = 7.32-3.95 (+-0.29) SIGMA(</w:t>
            </w:r>
            <w:proofErr w:type="spellStart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 o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,m,p),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0.989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Resorcinols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Gallard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(2002), Chen et al (2015)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(log(k5)) Rate constant for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phenolate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&gt; products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F51F98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log(k5) = 4.15-3.00 (+-0.22) SIGMA(</w:t>
            </w:r>
            <w:proofErr w:type="spellStart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 o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,m,p),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0.951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Monovalent anionic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monohydroxybenzenes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Gallard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(2002)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(log(k5)) Rate constant for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phenolate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&gt; products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F51F98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log(k5) = 6.71-3.36 (+-0.25) SIGMA(</w:t>
            </w:r>
            <w:proofErr w:type="spellStart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 o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,m,p),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0.971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Monovalent anionic meta-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dihydroxybenzenes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Gallard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(2002)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(log(k3)) Rate constant for ED- +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&gt; products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log(k3) = 0.78pKa -3.63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Monovalent anionic endocrine disruptors 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(2004)</w:t>
            </w:r>
          </w:p>
        </w:tc>
      </w:tr>
      <w:tr w:rsidR="00742F01" w:rsidRPr="005E51C0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Apparent rate constants at given pH or pH 7 (25 C)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k = 4.56 (± 0.45) N – 14.41 (± 1.95)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0.993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Inorganic anions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Swain–Scott plot.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Nucleophilicity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data (N), obtained from Hine (1962)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Gerritsen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and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Margerum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 (1990),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and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von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nl-NL"/>
              </w:rPr>
              <w:t xml:space="preserve"> 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Apparent rate constants at given pH or pH 7 (25 C)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log k = 1.14 (± 0.26) σ</w:t>
            </w:r>
            <w:r w:rsidRPr="00516264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∗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+ 7.24 (</w:t>
            </w:r>
            <w:r w:rsidRPr="0051626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±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0.17)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0.884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Secondary and primary amines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T=25C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Apparent rate constants at given pH or pH 7 (25 C)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k = -2.24 (± 0.82) σ</w:t>
            </w:r>
            <w:r w:rsidRPr="00516264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∗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+ 4.92 (</w:t>
            </w:r>
            <w:r w:rsidRPr="0051626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±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0.32)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0.907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Tertairy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amines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T=25C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Apparent rate constants at given pH or pH 7 (25 C)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k = -11.82 (± 1.26)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σi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- 5.12 (± 0.72)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0.997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phenoxide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ion, phenol, anisole and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butylphenylether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T=22-25C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Apparent rate constants at given pH or pH 7 (25 C)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k = -3.58 (± 1.14) Σ(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σo,p,m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+ 6.83 (± 0.42)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0.908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Substituted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phenoxide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ions 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PhO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 ) and 1,3-dihydroxybenzene anions (BOHO- and BO2 2- 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T=22-25C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Apparent rate constants at given pH or pH 7 (25 C)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k = -3.87 (± 0.66)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Σσo,p,m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+ 1.93 (± 0.55)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0.882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Phenoxide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ions 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PhO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-), 1,3-dihydroxybenzene anions (BOHO- and BO2 2- 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T=22-25C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Apparent rate constants at given pH or pH 7 (25 C)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k = -3.77 (± 0.44)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Σσo,p,m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+ 1.88 (± 0.37)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0.943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Phenoxide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ions 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PhO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-), 1,3-dihydroxybenzene anions (BOHO- and BO2 2- ), but without Cl2BO2 2-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T=22-25C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(log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kapp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Apparent rate constants 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0.99 (± 0.08) log kO3 – 4.47 (± 0.63)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0.964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Aromatic compounds (mostly phenols)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Deborde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von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Gunten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(2008)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Rate constant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mol-1 h-1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29.44 EHOMO + 16.74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Phosphorothioates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Duirk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et al. (2009),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Mamy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(2014)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Rate constant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mol-1 h-1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= 41.36 EHOMO + 20.45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Phosphorodithioates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Duirk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et al. (2009),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Mamy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(2014)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), log (k2))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+ C6H4X(O-) &gt; products (k2)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log k2 = -3.86 + 0.95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pKa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Monovalent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phenolates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Rebenne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(1996),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Soper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Smith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(log k)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Rate constant for k2 and k3 (monovalent/divalent anions),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ArX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(OH)O- and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ArX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(O-)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 k = -3.07 + 1.01pKa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regression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0.974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Monovalent/divalent anionic substituted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resorcinols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Rebenne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(1996)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Removal, %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Percentage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removed by chlorination 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OCl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% chlorine removal = 106.8 + 0.791%(ozone removal) + 7.89(#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rtvFG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 + 4.80(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QPlog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Pow) + 0.175(FISA) - 15.0(IP)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Several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3D molecular descriptors and physicochemical properties for the development of multiple linear regression analysis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0.705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Endocrine-disrupting compounds (EDCs) and pharmaceuticals and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personal care products (PPCPs)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Lei and Snyder (2007)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log(K/n)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Measured rate constant per site of attack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log(k/n) = 3.2 - 2.4(SIGMA(s)</w:t>
            </w:r>
            <w:proofErr w:type="spellStart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avg</w:t>
            </w:r>
            <w:proofErr w:type="spellEnd"/>
            <w:r w:rsidRPr="00F51F9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),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Linear least-squares fit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</w:t>
            </w:r>
          </w:p>
          <w:p w:rsidR="00742F01" w:rsidRPr="00F51F98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Hammett-type correlation, where n is the number of sites for attack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Substituted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resorcinols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phenols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Rebenne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(1996)</w:t>
            </w:r>
          </w:p>
        </w:tc>
      </w:tr>
      <w:tr w:rsidR="00742F01" w:rsidRPr="00516264" w:rsidTr="008F4C0C">
        <w:trPr>
          <w:trHeight w:val="300"/>
        </w:trPr>
        <w:tc>
          <w:tcPr>
            <w:tcW w:w="635" w:type="pct"/>
            <w:shd w:val="clear" w:color="auto" w:fill="auto"/>
            <w:noWrap/>
            <w:vAlign w:val="bottom"/>
            <w:hideMark/>
          </w:tcPr>
          <w:p w:rsidR="00742F01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ΔrG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ΔG#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Energy barriers for N- and/or C-hydroxylation</w:t>
            </w:r>
          </w:p>
        </w:tc>
        <w:tc>
          <w:tcPr>
            <w:tcW w:w="185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Double-hybrid DFT method, double-hybrid DFT methods (B2PLYP-D and BK-PLYP) and a G3B3 composite scheme</w:t>
            </w:r>
          </w:p>
        </w:tc>
        <w:tc>
          <w:tcPr>
            <w:tcW w:w="331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97" w:type="pct"/>
            <w:shd w:val="clear" w:color="auto" w:fill="auto"/>
            <w:vAlign w:val="bottom"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5?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Amines: ammonia; methylamine;</w:t>
            </w:r>
          </w:p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diethylamine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piperidine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morpholine</w:t>
            </w:r>
            <w:proofErr w:type="spellEnd"/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742F01" w:rsidRPr="00516264" w:rsidRDefault="00742F0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Sakic</w:t>
            </w:r>
            <w:proofErr w:type="spellEnd"/>
            <w:r w:rsidRPr="0051626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(2015)</w:t>
            </w:r>
          </w:p>
        </w:tc>
      </w:tr>
    </w:tbl>
    <w:p w:rsidR="00EA3553" w:rsidRDefault="00EA3553"/>
    <w:sectPr w:rsidR="00EA3553" w:rsidSect="009941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59"/>
    <w:rsid w:val="0002484B"/>
    <w:rsid w:val="00094622"/>
    <w:rsid w:val="000C1070"/>
    <w:rsid w:val="000D0DF9"/>
    <w:rsid w:val="00114681"/>
    <w:rsid w:val="00115054"/>
    <w:rsid w:val="0012000E"/>
    <w:rsid w:val="001240B4"/>
    <w:rsid w:val="001B477E"/>
    <w:rsid w:val="002043CB"/>
    <w:rsid w:val="0021475D"/>
    <w:rsid w:val="00217BA0"/>
    <w:rsid w:val="002A07BF"/>
    <w:rsid w:val="002D363A"/>
    <w:rsid w:val="002D56FA"/>
    <w:rsid w:val="002E1F77"/>
    <w:rsid w:val="002E4575"/>
    <w:rsid w:val="002E6EF6"/>
    <w:rsid w:val="00340515"/>
    <w:rsid w:val="003948D7"/>
    <w:rsid w:val="003C3D67"/>
    <w:rsid w:val="003F02D4"/>
    <w:rsid w:val="00451F51"/>
    <w:rsid w:val="004745C3"/>
    <w:rsid w:val="004C557E"/>
    <w:rsid w:val="00516264"/>
    <w:rsid w:val="0057728A"/>
    <w:rsid w:val="005E51C0"/>
    <w:rsid w:val="005E52A0"/>
    <w:rsid w:val="00611566"/>
    <w:rsid w:val="0063056C"/>
    <w:rsid w:val="00655ECC"/>
    <w:rsid w:val="006712B7"/>
    <w:rsid w:val="00676986"/>
    <w:rsid w:val="006948A4"/>
    <w:rsid w:val="006B7409"/>
    <w:rsid w:val="006D4943"/>
    <w:rsid w:val="007121DF"/>
    <w:rsid w:val="00726F8E"/>
    <w:rsid w:val="00742F01"/>
    <w:rsid w:val="007B5AC2"/>
    <w:rsid w:val="007C3F99"/>
    <w:rsid w:val="008554D0"/>
    <w:rsid w:val="00882FD9"/>
    <w:rsid w:val="008B6204"/>
    <w:rsid w:val="008B78A3"/>
    <w:rsid w:val="008E21D9"/>
    <w:rsid w:val="008E25E8"/>
    <w:rsid w:val="00920808"/>
    <w:rsid w:val="00927D47"/>
    <w:rsid w:val="00933104"/>
    <w:rsid w:val="00994159"/>
    <w:rsid w:val="009B43B9"/>
    <w:rsid w:val="009C4F16"/>
    <w:rsid w:val="009D4BFF"/>
    <w:rsid w:val="009F42B1"/>
    <w:rsid w:val="009F4C21"/>
    <w:rsid w:val="00A375D9"/>
    <w:rsid w:val="00A66A17"/>
    <w:rsid w:val="00AD4D3A"/>
    <w:rsid w:val="00AE191D"/>
    <w:rsid w:val="00AE75ED"/>
    <w:rsid w:val="00AF5129"/>
    <w:rsid w:val="00AF681F"/>
    <w:rsid w:val="00B24766"/>
    <w:rsid w:val="00BC5F6E"/>
    <w:rsid w:val="00BE192C"/>
    <w:rsid w:val="00C06DB9"/>
    <w:rsid w:val="00C4057B"/>
    <w:rsid w:val="00C97F31"/>
    <w:rsid w:val="00CB01AA"/>
    <w:rsid w:val="00CD7FF4"/>
    <w:rsid w:val="00CF369C"/>
    <w:rsid w:val="00D00858"/>
    <w:rsid w:val="00D17909"/>
    <w:rsid w:val="00D44DD7"/>
    <w:rsid w:val="00D45FDE"/>
    <w:rsid w:val="00DA65D2"/>
    <w:rsid w:val="00DA6709"/>
    <w:rsid w:val="00DF637B"/>
    <w:rsid w:val="00E12DF9"/>
    <w:rsid w:val="00E35541"/>
    <w:rsid w:val="00E44047"/>
    <w:rsid w:val="00E518F3"/>
    <w:rsid w:val="00E67D9A"/>
    <w:rsid w:val="00EA05E1"/>
    <w:rsid w:val="00EA3553"/>
    <w:rsid w:val="00EE20BF"/>
    <w:rsid w:val="00F13964"/>
    <w:rsid w:val="00F27619"/>
    <w:rsid w:val="00F51F98"/>
    <w:rsid w:val="00F744A1"/>
    <w:rsid w:val="00FA0971"/>
    <w:rsid w:val="00FF55D3"/>
    <w:rsid w:val="00FF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415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4159"/>
    <w:rPr>
      <w:color w:val="800080"/>
      <w:u w:val="single"/>
    </w:rPr>
  </w:style>
  <w:style w:type="paragraph" w:customStyle="1" w:styleId="xl63">
    <w:name w:val="xl63"/>
    <w:basedOn w:val="Normal"/>
    <w:rsid w:val="0099415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5E51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415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4159"/>
    <w:rPr>
      <w:color w:val="800080"/>
      <w:u w:val="single"/>
    </w:rPr>
  </w:style>
  <w:style w:type="paragraph" w:customStyle="1" w:styleId="xl63">
    <w:name w:val="xl63"/>
    <w:basedOn w:val="Normal"/>
    <w:rsid w:val="0099415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5E51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52</cp:revision>
  <dcterms:created xsi:type="dcterms:W3CDTF">2016-09-27T14:43:00Z</dcterms:created>
  <dcterms:modified xsi:type="dcterms:W3CDTF">2017-02-19T19:32:00Z</dcterms:modified>
</cp:coreProperties>
</file>