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8E" w:rsidRPr="008D588E" w:rsidRDefault="008D588E" w:rsidP="00B5711C">
      <w:pPr>
        <w:pStyle w:val="Caption"/>
        <w:keepNext/>
        <w:spacing w:after="0"/>
        <w:rPr>
          <w:noProof/>
          <w:color w:val="auto"/>
          <w:sz w:val="16"/>
          <w:szCs w:val="16"/>
        </w:rPr>
      </w:pPr>
      <w:r w:rsidRPr="008D588E">
        <w:rPr>
          <w:color w:val="auto"/>
          <w:sz w:val="16"/>
          <w:szCs w:val="16"/>
        </w:rPr>
        <w:t>Table S</w:t>
      </w:r>
      <w:r w:rsidR="00B5711C">
        <w:rPr>
          <w:color w:val="auto"/>
          <w:sz w:val="16"/>
          <w:szCs w:val="16"/>
        </w:rPr>
        <w:t>5</w:t>
      </w:r>
      <w:r>
        <w:rPr>
          <w:noProof/>
          <w:color w:val="auto"/>
          <w:sz w:val="16"/>
          <w:szCs w:val="16"/>
        </w:rPr>
        <w:t>: compilation of QSPRs for reaction with *OH</w:t>
      </w:r>
    </w:p>
    <w:tbl>
      <w:tblPr>
        <w:tblW w:w="519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079"/>
        <w:gridCol w:w="1108"/>
        <w:gridCol w:w="4498"/>
        <w:gridCol w:w="2610"/>
      </w:tblGrid>
      <w:tr w:rsidR="00AE7E98" w:rsidRPr="00817BA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</w:tcPr>
          <w:p w:rsidR="00AE7E98" w:rsidRPr="00817BAA" w:rsidRDefault="00AE7E98" w:rsidP="008F4C0C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817BA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1491" w:type="pct"/>
            <w:shd w:val="clear" w:color="auto" w:fill="auto"/>
            <w:noWrap/>
            <w:vAlign w:val="bottom"/>
          </w:tcPr>
          <w:p w:rsidR="00AE7E98" w:rsidRPr="00817BAA" w:rsidRDefault="00AE7E98" w:rsidP="008F4C0C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817BA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Equation and/or model specifications</w:t>
            </w:r>
          </w:p>
        </w:tc>
        <w:tc>
          <w:tcPr>
            <w:tcW w:w="405" w:type="pct"/>
            <w:shd w:val="clear" w:color="auto" w:fill="auto"/>
            <w:noWrap/>
            <w:vAlign w:val="bottom"/>
          </w:tcPr>
          <w:p w:rsidR="00AE7E98" w:rsidRPr="00817BAA" w:rsidRDefault="00180AAB" w:rsidP="008F4C0C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</w:t>
            </w:r>
            <w:bookmarkStart w:id="0" w:name="_GoBack"/>
            <w:bookmarkEnd w:id="0"/>
            <w:r w:rsidR="00AE7E98" w:rsidRPr="00817BAA">
              <w:rPr>
                <w:rFonts w:eastAsia="Times New Roman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44" w:type="pct"/>
            <w:shd w:val="clear" w:color="auto" w:fill="auto"/>
            <w:noWrap/>
            <w:vAlign w:val="bottom"/>
          </w:tcPr>
          <w:p w:rsidR="00AE7E98" w:rsidRPr="00817BAA" w:rsidRDefault="00AE7E98" w:rsidP="008F4C0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817BA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Specifications of training/test set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17BAA" w:rsidRDefault="00AE7E98" w:rsidP="008F4C0C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817BA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Reference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log(KOH)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146/31 polar (84%) and non-polar (16%)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Dutot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16.451 - 6.932 Me + 0.159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nDB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- 0.679 CH2RX + 0.401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nHAcc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- 0.460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Vindex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- 0.363 MATS2m - 0.362 Mor27p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;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17.215 - 7.564 Me + 0.160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nDB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- 0.625 CH2RX + 0.310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nHAcc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- 0.563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Vindex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- 0.362 MATS2m - 0.427 Mor27p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f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orward multiple linear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 =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88/28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.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Various chemical classes (phenols, polycyclic aromatic hydrocarbons, alkanes, halogenated aromatic compounds, organophosphorus compounds, etc.)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Jin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(2015)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second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order degradation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* = -0.628(+-0.408)MW - 2.150(+-0.633)piPC09 + 2.249(0.596)Mor02e - 0.694(0.213)Mor26p + 3.444(0.999)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EHOMOa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+ 11.905(+-0.978)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genetic algorithm and multiple regression analysis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using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everal DRAGON descriptors, and parameters from quantum-chemical calculations at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semiempirical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at density functional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theory level (B3LYP/6-31G(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d,p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0.803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60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b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enzene structures with different substitute groups and other heterocycles, containing nitrogen or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sulphur</w:t>
            </w:r>
            <w:proofErr w:type="spellEnd"/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Kusic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degradation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581BEA" w:rsidRDefault="00AE7E98" w:rsidP="008F4C0C">
            <w:pPr>
              <w:spacing w:after="0" w:line="240" w:lineRule="auto"/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k*1000=15.315+291.290Ehomo+ 0.310Cvθ+113.117qH+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tepwi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se multiple linear regression using f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ourteen physicochemical and quantum chemical parameters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calculated with Gaussian 09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0.878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ntimicrobial agents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Fenton-like system Cu2+/H2O2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Peng (2016)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econd order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2.153 + 0.895(DBE) - 0.134(WPSA)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molecular descriptors computed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c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orrelation analysis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principal component analysis and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multiple linear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0.918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55/28/28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pharmaceuticals, personal care products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or organic solvents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Amy (2013),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 phase OH-oxidation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Improved group contribution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method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(GCM)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72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lkanes, alcohols, organic acids and bases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Monod (2008), 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 reaction rate for contaminant removal by UV/H2O2 processes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= 0,99 – 0,56qCmean -  0,34BELv1 -  0,42ATS2m +   0,66piPC03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everal descriptors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computed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and MLR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0.774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 =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122/25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.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arious organic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micropollutants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including solvents, pharmaceuticals and pesticides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Wols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Vries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(2012)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- 8.613 - 0.02100 X% + 14.38EHOMO - 0.6430 Mor29u + 0.5870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NdsCH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+ 0.5870 GATS1e + 0.5770 X3A - 0.2450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SdsCH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- 167.0ð1=TÞ + 1.103 BIC1 + 0.1170 RDF015m - 1.044 SpMin8BhðpÞ + 0.2390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- 0.1980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NssssC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- 0.5080 F02[F-Br]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q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uantum chemical descriptors and DRAGON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tepwise MLR analysis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 =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1234/309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Various organic chemicals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 different temperatures (from 206 K to 1364 K)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Li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hydroxyl radical reaction rate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-6.511 + 15.85 EHOMO - 0.03800 AMW + 0.1300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NdsCH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+ 0.1630 Mor14i + 0.3170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+ 0.7790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+ 0.3930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nRCHO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- 0.01900 X% - 0.4550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SpMaxAAEA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+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0.5890(C-020) - 0.05600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nCbH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+ 0.1410 CATS2D03DL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q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uantum chemical descriptors and DRAGON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tepwise MLR analysis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696/176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Various organic chemicals T =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298K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Li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-6.412 - 0.01900 X% + 13.72EHOMO - 0.07200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nCbH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- 0.4510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SpMaxAAEA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- 231.4(1/T) + 0.1710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NdsCH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+ 0.2100 Mor14i + 0.2390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+ 0.5870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- 0.02500 AMW + 0.5360 (C - 020) + 0.2580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nRCHO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+ 0.08700 CATS2D 03 DL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q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uantum chemical descriptors and DRAGON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tepwise MLR analysis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1234/309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Various organic chemicals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 different temperatures (from 206 K to 1364 K)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Li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G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roup contribution method (GCM)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0.3364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310/124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c compounds with a variety of f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unctional groups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. I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ncludes 66 group rate constants and 80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group contribution factors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degradation rate constant in water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y=0.499x+13.503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HOMO-SOMO 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descriptor as x Dewar et al., 1985 with the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HyperChem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software, linear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0.512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477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c compounds with a variety of f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unctional groups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="00F87DF3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0B57DB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log(KOH) (log(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kox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)) [1/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M·sec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]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the second-order hydroxyl radical rate constant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(water) = 0.805 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(air) + 1.682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? Extrapolation from air to water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Güsten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(1981), Lim (2011)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0B57DB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log(KOH) (log(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kox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)) [1/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M·sec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]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the second-order hydroxyl radical rate constant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(water) = 0.88 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(air) + 0.98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? Extrapolation from air to water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Yao (1992), Lim (2011)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0B57DB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log(KOH) (log(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kox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)) [1/</w:t>
            </w:r>
            <w:proofErr w:type="spellStart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M·sec</w:t>
            </w:r>
            <w:proofErr w:type="spellEnd"/>
            <w:r w:rsidRPr="000B57DB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]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the second-order hydroxyl radical rate constant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(water) = 1.22 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(air) - 1.45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? Extrapolation from air to water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Klöpffer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(1985), Lim (2011)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 (log(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)) [1/day]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he first-order oxidation reaction rate constant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(water) = 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kox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(air) - 3.29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? Extrapolation from air to water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Lim (2011)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8F7A80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r w:rsidRPr="008F7A80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log(KOH) (log(</w:t>
            </w:r>
            <w:proofErr w:type="spellStart"/>
            <w:r w:rsidRPr="008F7A80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kgas</w:t>
            </w:r>
            <w:proofErr w:type="spellEnd"/>
            <w:r w:rsidRPr="008F7A80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)) (M-1/s-1)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kgas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(2.54+-2.19) + (1.31 +- 0.24) log(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 compounds including alcohols, ketones, aldehydes and acids 31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H-abstraction reactions of OH with a series of organic compounds versus corresponding aqueous phase rate constants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Gligorovski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, 2015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E269D0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940251">
              <w:rPr>
                <w:rFonts w:eastAsia="Times New Roman" w:cs="Times New Roman"/>
                <w:color w:val="000000"/>
                <w:sz w:val="16"/>
                <w:szCs w:val="16"/>
              </w:rPr>
              <w:t>log(KOH (log(k)) M-1S-1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E269D0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Reaction rate constant in water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 k (water) = 1.68 + 0.81 log k (air)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45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Haag and Yao (1992),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Canonica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(2003)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log(KOH 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k)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 k = 8.58(+-0.05) - 0.21(+-0.06)s+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enzene derivatives, (X–C6H5), where only one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ubstituent, X, was varied at a fixed position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Hansch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Gao (1997),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Canonica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(2003)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KOHrel</w:t>
            </w:r>
            <w:proofErr w:type="spellEnd"/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krel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-0.40(+-0.03) - 0.24(+-0.07)s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enzene derivatives, (X–C6H5), where only one substituent, X, was varied at a fixed position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Hansch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Gao (1997),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Canonica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(2003)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 (log(k))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 k = 8.70(+-0.02) - 0.27(+-0.04)s+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X–C6H4–COO2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Hansch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Gao (1997),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Canonica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Tratnyek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(2003)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second order degradation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* = -0.908(+-0.433)piPC08 + 0.512(+-0.291)GATS2p + 0.515(0.176)HATS7p + 4.404(0.992)EHOMO + 13.255(+-0.930)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genetic algorithm and multiple regression analysis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using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everal DRAGON descriptors, and parameters from quantum-chemical calculations at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semiempirical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at density functional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theory level (B3LYP/6-31G(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d,p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0.735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60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B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enzene structures with different substitute groups and other heterocycles, containing nitrogen or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sulphur</w:t>
            </w:r>
            <w:proofErr w:type="spellEnd"/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Kusic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Mamy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(−0.28+-0.07)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(9.50+-0.06)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0.6241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henolic acids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Peres (2010)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Aqueous-Phase Reaction Rate Constants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1.507*10 + 5.036*10^-1 EHOMO - 4.881QH + 4.623*10^-3 MSA - 5.118*10^-2mu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quantum chemical descriptors and multiple linear regressions (MLR)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0.905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44/11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henols, alkanes and alcohols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Aqueous-Phase Reaction Rate Constants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1.097*10 - 4.883QH - 6.612*10^-2mu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quantum chemical descriptors and multiple linear regressions (MLR)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0.686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henols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Aqueous-Phase Reaction Rate Constants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1.903*10 + 7.577*10^-1 EHOMO - 2.222*10 QH + 3.503*10^-3 MSA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quantum chemical descriptors and multiple linear regressions (MLR)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Aqueous-Phase Reaction Rate Constants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2.062*10 + 9.985*10^-1 EHOMO - 5.547QH + 3.821*10^-3 MSA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quantum chemical descriptors and multiple linear regressions (MLR)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lcohols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aqueous phase OH-oxidation rate constant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normalised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the number of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equivalnet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hydrogen atoms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 k(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OHaq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) = (27+-4) - (0.05+-0.01)BDE(C-H)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Evans – Polanyi-type correlations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lkanes, alcohols, organic acids and bases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Monod (2005), 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 phase OH-oxidation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Log(kOHaq298K) = 0.71(+-0.03) Log(kOHgas298 K)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g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as and aqueous-phase correlations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143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lkanes, alcohols, organic acids and bases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Monod (2005), Wang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aqueous phase OH-oxidation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LogkOHaq298 = 0.57(+-0.02) Log(kOHgas298 K)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0.9604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lkanes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Monod (2005)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kobs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, first-order degradation rate constant by UV/H2O2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 quadratic polynomial function: Y = AX1 + BX1^2 + CX2 + DX2^2 + EX1X2 + F. The coefficients pertaining to each term were used as responses in QSPR modeling to establish their dependence on the structural features of studied aromatics.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ariable selection Genetic Algorithm (GA) and Multiple Linear Regression Analysis (MLRA) methods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0.9556 to 0.9988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30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ingle-benzene-ring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Smidt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(2015)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−0.4 ± 1.3) × 10^8  + 1.01 ± 0.06 · 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gem-diols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linear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72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arbonyl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Doussin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Monod (2013),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Doussin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Monod (2013)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(−0.8 ± 1.4) × 10^8 + 0.80 ± 0.06  · 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gem-diols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linear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53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arbonyl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(2009),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Doussin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Monod (2013)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(2.0 ± 3.9) × 10^9  + 7.5 ± 1.7 · 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gem-diols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linear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56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arbonyl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Monod et al. (2005),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Doussin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Monod (2013)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 radical reaction rate constant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(4.3 ± 1.9) × 10^7 + 0.15 ± 0.01  · x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gem-diols descriptors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linear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arbonyl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Ervens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 (2003),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Doussin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Monod (2013)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KHabs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H-atom abstraction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Relationship with the Taft constant, σ* y=-0.32x+1.04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0.8281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lkyl, oxygenated, and halogenated functional groups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KHabs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H-atom abstraction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Relationship with the Taft constant, σ* y=-0.68x+2.43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0.9801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compounds with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S-, N-, or P-atom-containing functional groups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KOHadd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HO• addition to aromatic compounds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Relationship with electrophilic substituent parameter, σ+ y=-0.51x+0.82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0.7921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B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enzene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KOHadd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HO• addition to aromatic compounds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Relationship with electrophilic substituent parameter, σ+ y=-1.21x+0.73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0.8649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yridine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KOHadd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HO• addition to aromatic compounds 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Relationship with electrophilic substituent parameter, σ+ y=-0.34x+0.81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0.4225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uran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Minekata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KHabs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H-abstraction from C-H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-0.295x + 23.086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0.755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53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KOHadd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HO addition to C=C of alkenes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-0.425x + 21.213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0.699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KO2add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O2 addition to aliphatic C-centered radicals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-0.088x + 19.931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0.827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KO2add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O2 addition to aromatic C-centered radicals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-0.407x + 13.621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E5617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Kbidecay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Bidecay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peroxyl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radical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-0.720x + 19.465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0.768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Ktetr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Tetroxide formation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-0.350x + 11.778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KO2add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HO addition to aromatic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-0.847x + 20.914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0.882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Kuni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Unidecay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peroxyl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radical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y = -0.1871x + 19.84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L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inear regression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LFER: calculations on the aqueous phase reaction rate constant using Transition State Theory (TST)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lnkexp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ρΔGact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calc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σ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0.7079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arious organic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Song, and Crittenden (2011);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Minakata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ln(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KOHag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aqueous reaction rate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normalised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the number of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equivalnet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hydrogen atoms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kOHaq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/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nH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= (28+-4) - (0.05+-0.01)BDE(C-H)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0.8649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what compounds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Herman (2003), Monod (2005)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ln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kOHag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aqueous reaction rate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normalised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the number of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equivalnet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hydrogen atoms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ln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kOHaq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>nH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  <w:lang w:val="nl-NL"/>
              </w:rPr>
              <w:t xml:space="preserve"> = (28+-4) - (0.05+-0.01)BDE(C-H)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0.9801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10 what compounds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Gligorovski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and Herman (2004)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 (log(Ks))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hydroxyl-radical quenching reactivity of phenolic compounds (log Ks)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logKs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= -0.300(+-0.019)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DHf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+ 16.568(+-0.470)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descriptors and MLR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0.8416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henolic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Cheng (2002)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log(KOH) (log(Ks))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hydroxyl-radical quenching reactivity of phenolic compounds (log Ks)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 Ks = -0.227(+-0.028)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DHf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+ 0.171(+-0.047)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+ 0.169(+-0.043)EHOMO - 9.807(+-3.600)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Dsr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+20.4949(+-1.091)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everal descriptors and MLR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henolic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Cheng (2002)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Abs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z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the absorption competitiveness between parent pollutant and H2O2 for irradiation energy (z)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log(z) = 3.680(+-1.107)BIC1 - 0.961(+-0.812)Mor21e + 0.543(+-0358)Mor29p + 9.652(+-2.587)EHOMO + 4.036(+-1.661)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Var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iable selection Genetic Algorit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hm (GA) and Multiple Linear Regression Analysis (MLRA) methods. The combination of GA-MLRA was used to build models using the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BuildQSAR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2.1.0.0 program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29/10/1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ingle-benzene ring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Juretic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Rate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u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the rate of BP1 degradation (u)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EE23AF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E23AF">
              <w:rPr>
                <w:rFonts w:eastAsia="Times New Roman" w:cs="Times New Roman"/>
                <w:color w:val="000000"/>
                <w:sz w:val="16"/>
                <w:szCs w:val="16"/>
              </w:rPr>
              <w:t>u = 1.537(+-0.452)SPI - 0.590(+-0.517)MAXDP + (0.637(+-0.439)G2e - 2.044(+-0.348)</w:t>
            </w:r>
            <w:proofErr w:type="spellStart"/>
            <w:r w:rsidRPr="00EE23AF">
              <w:rPr>
                <w:rFonts w:eastAsia="Times New Roman" w:cs="Times New Roman"/>
                <w:color w:val="000000"/>
                <w:sz w:val="16"/>
                <w:szCs w:val="16"/>
              </w:rPr>
              <w:t>dðHfÞ</w:t>
            </w:r>
            <w:proofErr w:type="spellEnd"/>
            <w:r w:rsidRPr="00EE23AF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+ (0.250+-0.402),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Variable selection Genetic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Algorit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(GA) and Multiple Linear Regression Analysis (MLRA) methods. The combination of GA-MLRA was used to build models using the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BuildQSAR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2.1.0.0 program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29/10/1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ingle-benzene ring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Juretic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Ratio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the ratio of ‘‘fast’’ and ‘‘slow’’ mineralizing by-products (w)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EE23AF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E23AF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w = 0.466(+-0.109)Mor18v + 0.039(+-0.015)Mor14p - 0.148(0.053)R1u + 0.170(+-0.043)R4u + 1.034(+-0.101),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ariable selection Genetic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Algorit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(GA) and Multiple Linear Regression Analysis (MLRA) methods. The combination of GA-MLRA was used to build models using the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BuildQSAR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2.1.0.0 program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29/10/1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ingle-benzene ring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Juretic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profile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concentration time profiles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log(z), u, and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w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were used to parametrize a mechanistic model (MM) based on simplified degradation scheme for UV/H2O2 process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v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ariable selection Genetic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Algorit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hm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(GA) and Multiple Linear Regression Analysis (MLRA) methods. The combination of GA-MLRA was used to build models using the </w:t>
            </w: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BuildQSAR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2.1.0.0 program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29/10/1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ingle-benzene ring compounds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Juretic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(2014)</w:t>
            </w:r>
          </w:p>
        </w:tc>
      </w:tr>
      <w:tr w:rsidR="00AE7E98" w:rsidRPr="008C047A" w:rsidTr="001308FF">
        <w:trPr>
          <w:trHeight w:val="300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AE7E98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%COD </w:t>
            </w:r>
          </w:p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antibiotic removal in aqueous solution by the Fenton process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60/30/30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</w:t>
            </w:r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ntibiotics</w:t>
            </w:r>
          </w:p>
        </w:tc>
        <w:tc>
          <w:tcPr>
            <w:tcW w:w="954" w:type="pct"/>
            <w:shd w:val="clear" w:color="auto" w:fill="auto"/>
            <w:vAlign w:val="bottom"/>
          </w:tcPr>
          <w:p w:rsidR="00AE7E98" w:rsidRPr="008C047A" w:rsidRDefault="00AE7E98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>Elmolla</w:t>
            </w:r>
            <w:proofErr w:type="spellEnd"/>
            <w:r w:rsidRPr="008C04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(2010)</w:t>
            </w:r>
          </w:p>
        </w:tc>
      </w:tr>
    </w:tbl>
    <w:p w:rsidR="00EA3553" w:rsidRPr="000B0A44" w:rsidRDefault="00EA3553" w:rsidP="001F1225">
      <w:pPr>
        <w:rPr>
          <w:sz w:val="18"/>
          <w:szCs w:val="18"/>
        </w:rPr>
      </w:pPr>
    </w:p>
    <w:sectPr w:rsidR="00EA3553" w:rsidRPr="000B0A44" w:rsidSect="00F853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89"/>
    <w:rsid w:val="00013E11"/>
    <w:rsid w:val="00035A96"/>
    <w:rsid w:val="00055CA8"/>
    <w:rsid w:val="0008642E"/>
    <w:rsid w:val="000A1A27"/>
    <w:rsid w:val="000B0A44"/>
    <w:rsid w:val="000B3AF6"/>
    <w:rsid w:val="000B57DB"/>
    <w:rsid w:val="000C06F4"/>
    <w:rsid w:val="000C2628"/>
    <w:rsid w:val="000F1710"/>
    <w:rsid w:val="000F4E93"/>
    <w:rsid w:val="00121600"/>
    <w:rsid w:val="001235D0"/>
    <w:rsid w:val="00124A26"/>
    <w:rsid w:val="001254A5"/>
    <w:rsid w:val="001267EF"/>
    <w:rsid w:val="001308FF"/>
    <w:rsid w:val="00146A16"/>
    <w:rsid w:val="001527AC"/>
    <w:rsid w:val="001622BE"/>
    <w:rsid w:val="00180AAB"/>
    <w:rsid w:val="001945D2"/>
    <w:rsid w:val="001C1D4B"/>
    <w:rsid w:val="001E388A"/>
    <w:rsid w:val="001F1225"/>
    <w:rsid w:val="001F1B82"/>
    <w:rsid w:val="00227D76"/>
    <w:rsid w:val="0023528E"/>
    <w:rsid w:val="00237C60"/>
    <w:rsid w:val="00256316"/>
    <w:rsid w:val="0025717A"/>
    <w:rsid w:val="0026461F"/>
    <w:rsid w:val="00287BA7"/>
    <w:rsid w:val="00290DA1"/>
    <w:rsid w:val="00292055"/>
    <w:rsid w:val="00294056"/>
    <w:rsid w:val="00296646"/>
    <w:rsid w:val="002A2020"/>
    <w:rsid w:val="002B08F0"/>
    <w:rsid w:val="002B7958"/>
    <w:rsid w:val="002D3012"/>
    <w:rsid w:val="002E1F77"/>
    <w:rsid w:val="00301106"/>
    <w:rsid w:val="0031627E"/>
    <w:rsid w:val="00320FDA"/>
    <w:rsid w:val="00326E72"/>
    <w:rsid w:val="003335AF"/>
    <w:rsid w:val="0033536B"/>
    <w:rsid w:val="003635F6"/>
    <w:rsid w:val="00363904"/>
    <w:rsid w:val="00376AE6"/>
    <w:rsid w:val="00385D46"/>
    <w:rsid w:val="003A29C3"/>
    <w:rsid w:val="003A45F5"/>
    <w:rsid w:val="003B126B"/>
    <w:rsid w:val="003D2089"/>
    <w:rsid w:val="003E2198"/>
    <w:rsid w:val="003E79E3"/>
    <w:rsid w:val="003F7563"/>
    <w:rsid w:val="004245F2"/>
    <w:rsid w:val="00426B49"/>
    <w:rsid w:val="00430B79"/>
    <w:rsid w:val="004839BD"/>
    <w:rsid w:val="00486C01"/>
    <w:rsid w:val="00493F2F"/>
    <w:rsid w:val="004A18AF"/>
    <w:rsid w:val="004E2DFB"/>
    <w:rsid w:val="004F4156"/>
    <w:rsid w:val="005205C8"/>
    <w:rsid w:val="005230C4"/>
    <w:rsid w:val="005372EA"/>
    <w:rsid w:val="00555C5B"/>
    <w:rsid w:val="0056768F"/>
    <w:rsid w:val="00581BEA"/>
    <w:rsid w:val="005B2387"/>
    <w:rsid w:val="005D2DD6"/>
    <w:rsid w:val="005E10F5"/>
    <w:rsid w:val="005E1593"/>
    <w:rsid w:val="006017D0"/>
    <w:rsid w:val="006204B1"/>
    <w:rsid w:val="006550DB"/>
    <w:rsid w:val="006608DD"/>
    <w:rsid w:val="0066353A"/>
    <w:rsid w:val="00695516"/>
    <w:rsid w:val="006B50B2"/>
    <w:rsid w:val="006C1B4E"/>
    <w:rsid w:val="006C202C"/>
    <w:rsid w:val="006D5EA8"/>
    <w:rsid w:val="006E2615"/>
    <w:rsid w:val="006F021D"/>
    <w:rsid w:val="007068E2"/>
    <w:rsid w:val="007117DF"/>
    <w:rsid w:val="00730571"/>
    <w:rsid w:val="007321D3"/>
    <w:rsid w:val="00744E36"/>
    <w:rsid w:val="0077022E"/>
    <w:rsid w:val="007709CB"/>
    <w:rsid w:val="007762C5"/>
    <w:rsid w:val="007C1E72"/>
    <w:rsid w:val="007D0D55"/>
    <w:rsid w:val="007E12F2"/>
    <w:rsid w:val="008017D1"/>
    <w:rsid w:val="00801E3A"/>
    <w:rsid w:val="00802C76"/>
    <w:rsid w:val="00817BAA"/>
    <w:rsid w:val="0082706B"/>
    <w:rsid w:val="00830F91"/>
    <w:rsid w:val="00837C86"/>
    <w:rsid w:val="008843BD"/>
    <w:rsid w:val="008956B6"/>
    <w:rsid w:val="008C047A"/>
    <w:rsid w:val="008C4E48"/>
    <w:rsid w:val="008D44F6"/>
    <w:rsid w:val="008D588E"/>
    <w:rsid w:val="008F7A80"/>
    <w:rsid w:val="009073A0"/>
    <w:rsid w:val="00921633"/>
    <w:rsid w:val="00940251"/>
    <w:rsid w:val="0095496F"/>
    <w:rsid w:val="009742FB"/>
    <w:rsid w:val="00977648"/>
    <w:rsid w:val="009849DF"/>
    <w:rsid w:val="00994513"/>
    <w:rsid w:val="009B19FC"/>
    <w:rsid w:val="009B661F"/>
    <w:rsid w:val="009C2FCD"/>
    <w:rsid w:val="009D5D59"/>
    <w:rsid w:val="009E5089"/>
    <w:rsid w:val="00A47601"/>
    <w:rsid w:val="00A5323C"/>
    <w:rsid w:val="00A55442"/>
    <w:rsid w:val="00A5642B"/>
    <w:rsid w:val="00A67AC8"/>
    <w:rsid w:val="00A70EAE"/>
    <w:rsid w:val="00A94E3E"/>
    <w:rsid w:val="00AB5AF4"/>
    <w:rsid w:val="00AD4701"/>
    <w:rsid w:val="00AE7E98"/>
    <w:rsid w:val="00B109BC"/>
    <w:rsid w:val="00B12392"/>
    <w:rsid w:val="00B162BA"/>
    <w:rsid w:val="00B20674"/>
    <w:rsid w:val="00B215BD"/>
    <w:rsid w:val="00B21C6A"/>
    <w:rsid w:val="00B3069A"/>
    <w:rsid w:val="00B5711C"/>
    <w:rsid w:val="00B9310C"/>
    <w:rsid w:val="00BA36EA"/>
    <w:rsid w:val="00BB3EDF"/>
    <w:rsid w:val="00BE220D"/>
    <w:rsid w:val="00C14FE8"/>
    <w:rsid w:val="00C15633"/>
    <w:rsid w:val="00C32B5A"/>
    <w:rsid w:val="00C40AEF"/>
    <w:rsid w:val="00C668E1"/>
    <w:rsid w:val="00C71D3E"/>
    <w:rsid w:val="00C73BF9"/>
    <w:rsid w:val="00C7486F"/>
    <w:rsid w:val="00C83967"/>
    <w:rsid w:val="00C843DB"/>
    <w:rsid w:val="00CA66B7"/>
    <w:rsid w:val="00CB15EB"/>
    <w:rsid w:val="00CB3389"/>
    <w:rsid w:val="00CB3478"/>
    <w:rsid w:val="00CB6989"/>
    <w:rsid w:val="00CC456A"/>
    <w:rsid w:val="00CC5626"/>
    <w:rsid w:val="00CF2242"/>
    <w:rsid w:val="00D16226"/>
    <w:rsid w:val="00D24CCE"/>
    <w:rsid w:val="00D37EA9"/>
    <w:rsid w:val="00D50B37"/>
    <w:rsid w:val="00D510D0"/>
    <w:rsid w:val="00D530AD"/>
    <w:rsid w:val="00D55483"/>
    <w:rsid w:val="00D75DEF"/>
    <w:rsid w:val="00D77F80"/>
    <w:rsid w:val="00D806AE"/>
    <w:rsid w:val="00D973B7"/>
    <w:rsid w:val="00DA1D70"/>
    <w:rsid w:val="00DA5356"/>
    <w:rsid w:val="00DA7BF4"/>
    <w:rsid w:val="00DB5FFE"/>
    <w:rsid w:val="00DC56E2"/>
    <w:rsid w:val="00DC64B3"/>
    <w:rsid w:val="00DF07DA"/>
    <w:rsid w:val="00DF2CA3"/>
    <w:rsid w:val="00E06895"/>
    <w:rsid w:val="00E145A3"/>
    <w:rsid w:val="00E24175"/>
    <w:rsid w:val="00E269D0"/>
    <w:rsid w:val="00E47EA8"/>
    <w:rsid w:val="00E5617F"/>
    <w:rsid w:val="00E56847"/>
    <w:rsid w:val="00E64198"/>
    <w:rsid w:val="00E65FA6"/>
    <w:rsid w:val="00E74093"/>
    <w:rsid w:val="00E75F2F"/>
    <w:rsid w:val="00E92471"/>
    <w:rsid w:val="00EA3553"/>
    <w:rsid w:val="00EA6BD9"/>
    <w:rsid w:val="00EC2413"/>
    <w:rsid w:val="00EE23AF"/>
    <w:rsid w:val="00EE4E17"/>
    <w:rsid w:val="00EE6F01"/>
    <w:rsid w:val="00EF593F"/>
    <w:rsid w:val="00F05804"/>
    <w:rsid w:val="00F058DE"/>
    <w:rsid w:val="00F310F0"/>
    <w:rsid w:val="00F41CB8"/>
    <w:rsid w:val="00F56D72"/>
    <w:rsid w:val="00F85389"/>
    <w:rsid w:val="00F86D8D"/>
    <w:rsid w:val="00F87DF3"/>
    <w:rsid w:val="00FB17B8"/>
    <w:rsid w:val="00FC7FEF"/>
    <w:rsid w:val="00FD4EEF"/>
    <w:rsid w:val="00FE2047"/>
    <w:rsid w:val="00FF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D588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D588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2335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15614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179</cp:revision>
  <dcterms:created xsi:type="dcterms:W3CDTF">2016-09-27T10:08:00Z</dcterms:created>
  <dcterms:modified xsi:type="dcterms:W3CDTF">2017-02-19T19:34:00Z</dcterms:modified>
</cp:coreProperties>
</file>