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00052" w:rsidRPr="00D65B8E" w:rsidRDefault="00F00052" w:rsidP="00D65B8E">
      <w:pPr>
        <w:pStyle w:val="BATitle"/>
        <w:spacing w:before="0" w:line="360" w:lineRule="auto"/>
        <w:rPr>
          <w:sz w:val="52"/>
        </w:rPr>
      </w:pPr>
      <w:r w:rsidRPr="00D65B8E">
        <w:rPr>
          <w:sz w:val="52"/>
        </w:rPr>
        <w:t>Electronic Supplementary Information</w:t>
      </w:r>
    </w:p>
    <w:p w:rsidR="00541C4E" w:rsidRPr="00DD0FD2" w:rsidRDefault="00F267A9" w:rsidP="00541C4E">
      <w:pPr>
        <w:pStyle w:val="BATitle"/>
      </w:pPr>
      <w:r w:rsidRPr="00DD0FD2">
        <w:t xml:space="preserve">Properties that Rank </w:t>
      </w:r>
      <w:proofErr w:type="spellStart"/>
      <w:proofErr w:type="gramStart"/>
      <w:r w:rsidRPr="00DD0FD2">
        <w:t>Protein:Protein</w:t>
      </w:r>
      <w:proofErr w:type="spellEnd"/>
      <w:proofErr w:type="gramEnd"/>
      <w:r w:rsidRPr="00DD0FD2">
        <w:t xml:space="preserve"> Docking Poses with High Accuracy</w:t>
      </w:r>
      <w:r w:rsidR="008F2B4D" w:rsidRPr="00DD0FD2" w:rsidDel="008F2B4D">
        <w:t xml:space="preserve"> </w:t>
      </w:r>
      <w:r w:rsidR="00541C4E" w:rsidRPr="00DD0FD2" w:rsidDel="009E34BA">
        <w:t xml:space="preserve"> </w:t>
      </w:r>
    </w:p>
    <w:p w:rsidR="00541C4E" w:rsidRPr="00DD0FD2" w:rsidRDefault="00541C4E" w:rsidP="00541C4E">
      <w:pPr>
        <w:pStyle w:val="BBAuthorName"/>
        <w:jc w:val="both"/>
        <w:rPr>
          <w:lang w:val="pt-PT"/>
        </w:rPr>
      </w:pPr>
      <w:r w:rsidRPr="00DD0FD2">
        <w:rPr>
          <w:lang w:val="pt-PT"/>
        </w:rPr>
        <w:t>Inês C. M. Simões, João T. S. Coimbra, Rui P. P. Neves, Inês P. D. Costa, Mar</w:t>
      </w:r>
      <w:r w:rsidR="00F267A9" w:rsidRPr="00DD0FD2">
        <w:rPr>
          <w:lang w:val="pt-PT"/>
        </w:rPr>
        <w:t>ia J. Ramos, Pedro A. Fernandes</w:t>
      </w:r>
    </w:p>
    <w:p w:rsidR="00541C4E" w:rsidRPr="00DD0FD2" w:rsidRDefault="00541C4E" w:rsidP="00541C4E">
      <w:pPr>
        <w:pStyle w:val="BCAuthorAddress"/>
        <w:jc w:val="both"/>
        <w:rPr>
          <w:lang w:val="pt-PT"/>
        </w:rPr>
      </w:pPr>
      <w:r w:rsidRPr="00DD0FD2">
        <w:rPr>
          <w:lang w:val="pt-PT"/>
        </w:rPr>
        <w:t>UCIBIO, REQUIMTE, Departamento de Química e Bioquímica, Faculdade de Ciências, Universidade do Porto, Rua do Campo Alegre, s/n, 4169-007 Porto, Portugal</w:t>
      </w:r>
    </w:p>
    <w:p w:rsidR="005051A6" w:rsidRPr="00A541F6" w:rsidRDefault="005051A6" w:rsidP="00C57EB4">
      <w:pPr>
        <w:pStyle w:val="TAMainText"/>
        <w:ind w:firstLine="0"/>
        <w:rPr>
          <w:b/>
          <w:caps/>
          <w:lang w:val="pt-PT"/>
        </w:rPr>
      </w:pPr>
    </w:p>
    <w:p w:rsidR="00805941" w:rsidRPr="00805941" w:rsidRDefault="00805941" w:rsidP="00C57EB4">
      <w:pPr>
        <w:pStyle w:val="TAMainText"/>
        <w:ind w:firstLine="0"/>
        <w:rPr>
          <w:lang w:val="en-GB"/>
        </w:rPr>
      </w:pPr>
      <w:r w:rsidRPr="00805941">
        <w:rPr>
          <w:lang w:val="en-GB"/>
        </w:rPr>
        <w:t>SECTION 1. SUPPORTING PROTOCOL</w:t>
      </w:r>
    </w:p>
    <w:p w:rsidR="00A541F6" w:rsidRDefault="00A541F6" w:rsidP="00C57EB4">
      <w:pPr>
        <w:pStyle w:val="TAMainText"/>
        <w:ind w:firstLine="0"/>
        <w:rPr>
          <w:lang w:val="en-GB"/>
        </w:rPr>
      </w:pPr>
      <w:r w:rsidRPr="00C83B4F">
        <w:rPr>
          <w:i/>
          <w:lang w:val="en-GB"/>
        </w:rPr>
        <w:t>MM-PBSA scoring.</w:t>
      </w:r>
      <w:r w:rsidRPr="00C83B4F">
        <w:rPr>
          <w:lang w:val="en-GB"/>
        </w:rPr>
        <w:t xml:space="preserve"> When mutating the entire interface of each </w:t>
      </w:r>
      <w:proofErr w:type="gramStart"/>
      <w:r w:rsidRPr="00C83B4F">
        <w:rPr>
          <w:lang w:val="en-GB"/>
        </w:rPr>
        <w:t>P:P</w:t>
      </w:r>
      <w:proofErr w:type="gramEnd"/>
      <w:r w:rsidRPr="00C83B4F">
        <w:rPr>
          <w:lang w:val="en-GB"/>
        </w:rPr>
        <w:t xml:space="preserve"> docking pose, we observed that some mutations led to unphysical </w:t>
      </w:r>
      <w:proofErr w:type="spellStart"/>
      <w:r w:rsidRPr="00C83B4F">
        <w:rPr>
          <w:rFonts w:ascii="Times New Roman" w:hAnsi="Times New Roman"/>
          <w:i/>
          <w:szCs w:val="24"/>
          <w:lang w:val="en-GB"/>
        </w:rPr>
        <w:t>ΔΔG</w:t>
      </w:r>
      <w:r w:rsidRPr="00C83B4F">
        <w:rPr>
          <w:rFonts w:ascii="Times New Roman" w:hAnsi="Times New Roman"/>
          <w:szCs w:val="24"/>
          <w:vertAlign w:val="subscript"/>
          <w:lang w:val="en-GB"/>
        </w:rPr>
        <w:t>bind</w:t>
      </w:r>
      <w:proofErr w:type="spellEnd"/>
      <w:r w:rsidRPr="00C83B4F">
        <w:rPr>
          <w:lang w:val="en-GB"/>
        </w:rPr>
        <w:t xml:space="preserve"> values (on average, they occurred for no more than 8% of all mutations performed in the 21 structures of each complex). These outliers resulted from the incorrect creation of the mutations during the running of the MMPBSA.py script. In these cases, we have used the MMPBSA.py script provided in the Amber 16 version of AmberTools.</w:t>
      </w:r>
      <w:r w:rsidRPr="00C83B4F">
        <w:rPr>
          <w:lang w:val="en-GB"/>
        </w:rPr>
        <w:fldChar w:fldCharType="begin" w:fldLock="1"/>
      </w:r>
      <w:r w:rsidRPr="00C83B4F">
        <w:rPr>
          <w:lang w:val="en-GB"/>
        </w:rPr>
        <w:instrText>ADDIN CSL_CITATION { "citationItems" : [ { "id" : "ITEM-1", "itemData" : { "author" : [ { "dropping-particle" : "", "family" : "D.A. Case, R.M. Betz, D.S. Cerutti, T.E. Cheatham, III, T.A. Darden, R.E. Duke, T.J. Giese", "given" : "H. Gohlke", "non-dropping-particle" : "", "parse-names" : false, "suffix" : "" }, { "dropping-particle" : "", "family" : "A.W. Goetz, N. Homeyer, S. Izadi, P. Janowski, J. Kaus, A. Kovalenko, T.S. Lee, S. LeGrand, P. Li", "given" : "C.", "non-dropping-particle" : "", "parse-names" : false, "suffix" : "" }, { "dropping-particle" : "", "family" : "Lin, T. Luchko, R. Luo, B. Madej, D. Mermelstein, K.M. Merz, G. Monard, H. Nguyen, H.T. Nguyen", "given" : "I.", "non-dropping-particle" : "", "parse-names" : false, "suffix" : "" }, { "dropping-particle" : "", "family" : "Omelyan, A. Onufriev, D.R. Roe, A. Roitberg, C. Sagui, C.L. Simmerling, W.M. Botello-Smith", "given" : "J. Swails", "non-dropping-particle" : "", "parse-names" : false, "suffix" : "" }, { "dropping-particle" : "", "family" : "R.C. Walker, J. Wang, R.M. Wolf, X. Wu", "given" : "L. Xiao and P.A. Kollman", "non-dropping-particle" : "", "parse-names" : false, "suffix" : "" } ], "id" : "ITEM-1", "issued" : { "date-parts" : [ [ "2016" ] ] }, "publisher" : "University of California", "publisher-place" : "San Francisco", "title" : "AMBER 16", "type" : "article" }, "uris" : [ "http://www.mendeley.com/documents/?uuid=f920ec15-e7ad-4089-ab99-657d8db73629" ] } ], "mendeley" : { "formattedCitation" : "&lt;sup&gt;1&lt;/sup&gt;", "plainTextFormattedCitation" : "1" }, "properties" : { "noteIndex" : 0 }, "schema" : "https://github.com/citation-style-language/schema/raw/master/csl-citation.json" }</w:instrText>
      </w:r>
      <w:r w:rsidRPr="00C83B4F">
        <w:rPr>
          <w:lang w:val="en-GB"/>
        </w:rPr>
        <w:fldChar w:fldCharType="separate"/>
      </w:r>
      <w:r w:rsidRPr="00C83B4F">
        <w:rPr>
          <w:noProof/>
          <w:vertAlign w:val="superscript"/>
          <w:lang w:val="en-GB"/>
        </w:rPr>
        <w:t>1</w:t>
      </w:r>
      <w:r w:rsidRPr="00C83B4F">
        <w:rPr>
          <w:lang w:val="en-GB"/>
        </w:rPr>
        <w:fldChar w:fldCharType="end"/>
      </w:r>
      <w:r w:rsidRPr="00C83B4F">
        <w:rPr>
          <w:lang w:val="en-GB"/>
        </w:rPr>
        <w:t xml:space="preserve"> To test if the results are sensitive to the script version, we have used both Amber 12 and 16 in a test case (1VFB, B:B). On average, the deviation between versions is </w:t>
      </w:r>
      <w:r w:rsidRPr="00C83B4F">
        <w:rPr>
          <w:i/>
          <w:lang w:val="en-GB"/>
        </w:rPr>
        <w:t>ca.</w:t>
      </w:r>
      <w:r w:rsidRPr="00C83B4F">
        <w:rPr>
          <w:lang w:val="en-GB"/>
        </w:rPr>
        <w:t xml:space="preserve"> 0.2 kcal mol</w:t>
      </w:r>
      <w:r w:rsidRPr="00C83B4F">
        <w:rPr>
          <w:vertAlign w:val="superscript"/>
          <w:lang w:val="en-GB"/>
        </w:rPr>
        <w:t xml:space="preserve">-1 </w:t>
      </w:r>
      <w:r w:rsidRPr="00C83B4F">
        <w:rPr>
          <w:lang w:val="en-GB"/>
        </w:rPr>
        <w:t>for 635 mutations (data not shown). For the 200 poses scoring, we have consistently applied the MMPBSA.py script from Amber 16.</w:t>
      </w:r>
    </w:p>
    <w:p w:rsidR="00805941" w:rsidRPr="00805941" w:rsidRDefault="00805941" w:rsidP="00805941">
      <w:pPr>
        <w:pStyle w:val="TAMainText"/>
        <w:spacing w:before="240" w:after="240"/>
        <w:ind w:firstLine="0"/>
        <w:rPr>
          <w:szCs w:val="24"/>
          <w:lang w:val="en-GB"/>
        </w:rPr>
      </w:pPr>
      <w:r w:rsidRPr="00805941">
        <w:rPr>
          <w:i/>
        </w:rPr>
        <w:lastRenderedPageBreak/>
        <w:t>MD simulations’ protocol.</w:t>
      </w:r>
      <w:r w:rsidRPr="00805941">
        <w:t xml:space="preserve"> The MD protocol </w:t>
      </w:r>
      <w:r w:rsidRPr="00805941">
        <w:rPr>
          <w:szCs w:val="24"/>
          <w:lang w:val="en-GB"/>
        </w:rPr>
        <w:t xml:space="preserve">was performed considering the energy minimized structure of each complex. These were subjected to heating (100 </w:t>
      </w:r>
      <w:proofErr w:type="spellStart"/>
      <w:r w:rsidRPr="00805941">
        <w:rPr>
          <w:szCs w:val="24"/>
          <w:lang w:val="en-GB"/>
        </w:rPr>
        <w:t>ps</w:t>
      </w:r>
      <w:proofErr w:type="spellEnd"/>
      <w:r w:rsidRPr="00805941">
        <w:rPr>
          <w:szCs w:val="24"/>
          <w:lang w:val="en-GB"/>
        </w:rPr>
        <w:t xml:space="preserve">) and NPT equilibration (500 </w:t>
      </w:r>
      <w:proofErr w:type="spellStart"/>
      <w:r w:rsidRPr="00805941">
        <w:rPr>
          <w:szCs w:val="24"/>
          <w:lang w:val="en-GB"/>
        </w:rPr>
        <w:t>ps</w:t>
      </w:r>
      <w:proofErr w:type="spellEnd"/>
      <w:r w:rsidRPr="00805941">
        <w:rPr>
          <w:szCs w:val="24"/>
          <w:lang w:val="en-GB"/>
        </w:rPr>
        <w:t xml:space="preserve">) stages, prior to </w:t>
      </w:r>
      <w:proofErr w:type="gramStart"/>
      <w:r w:rsidRPr="00805941">
        <w:rPr>
          <w:szCs w:val="24"/>
          <w:lang w:val="en-GB"/>
        </w:rPr>
        <w:t>a</w:t>
      </w:r>
      <w:proofErr w:type="gramEnd"/>
      <w:r w:rsidRPr="00805941">
        <w:rPr>
          <w:szCs w:val="24"/>
          <w:lang w:val="en-GB"/>
        </w:rPr>
        <w:t xml:space="preserve"> NPT production of 1 ns. The temperature of the models was raised gradually from 0 to 300 K, followed by constant pressure dynamics (1 </w:t>
      </w:r>
      <w:proofErr w:type="spellStart"/>
      <w:r w:rsidRPr="00805941">
        <w:rPr>
          <w:szCs w:val="24"/>
          <w:lang w:val="en-GB"/>
        </w:rPr>
        <w:t>atm</w:t>
      </w:r>
      <w:proofErr w:type="spellEnd"/>
      <w:r w:rsidRPr="00805941">
        <w:rPr>
          <w:szCs w:val="24"/>
          <w:lang w:val="en-GB"/>
        </w:rPr>
        <w:t>), employing periodic boundary conditions. The temperature was regulated by the Langevin thermostat and the pressure was controlled by an isotropic position scaling using the weak-coupling variety algorithm.</w:t>
      </w:r>
      <w:r w:rsidRPr="00805941">
        <w:rPr>
          <w:szCs w:val="24"/>
          <w:lang w:val="en-GB"/>
        </w:rPr>
        <w:fldChar w:fldCharType="begin" w:fldLock="1"/>
      </w:r>
      <w:r w:rsidRPr="00805941">
        <w:rPr>
          <w:szCs w:val="24"/>
          <w:lang w:val="en-GB"/>
        </w:rPr>
        <w:instrText>ADDIN CSL_CITATION { "citationItems" : [ { "id" : "ITEM-1", "itemData" : { "DOI" : "10.1063/1.448118", "ISBN" : "doi:10.1063/1.448118", "ISSN" : "00219606", "PMID" : "21370443", "abstract" : "In molecular dynamics (MD) simulations the need often arises to maintain such parameters as temperature or pressure rather than energy and volume, or to impose gradients for studying transport properties in nonequilibrium MD. A method is described to realize coupling to an external bath with constant temperature or pressure with adjustable time constants for the coupling. The method is easily extendable to other variables and to gradients, and can be applied also to polyatomic molecules involving internal constraints. The influence of coupling time constants on dynamical variables is evaluated. A leap-frog algorithm is presented for the general case involving constraints with coupling to both a constant temperature and a constant pressure bath.", "author" : [ { "dropping-particle" : "", "family" : "Berendsen", "given" : "H. J.C.", "non-dropping-particle" : "", "parse-names" : false, "suffix" : "" }, { "dropping-particle" : "", "family" : "Postma", "given" : "J. P.M.", "non-dropping-particle" : "", "parse-names" : false, "suffix" : "" }, { "dropping-particle" : "", "family" : "Gunsteren", "given" : "W. F.", "non-dropping-particle" : "Van", "parse-names" : false, "suffix" : "" }, { "dropping-particle" : "", "family" : "Dinola", "given" : "A.", "non-dropping-particle" : "", "parse-names" : false, "suffix" : "" }, { "dropping-particle" : "", "family" : "Haak", "given" : "J. R.", "non-dropping-particle" : "", "parse-names" : false, "suffix" : "" } ], "container-title" : "The Journal of Chemical Physics", "id" : "ITEM-1", "issue" : "8", "issued" : { "date-parts" : [ [ "1984" ] ] }, "page" : "3684-3690", "title" : "Molecular dynamics with coupling to an external bath", "type" : "article-journal", "volume" : "81" }, "uris" : [ "http://www.mendeley.com/documents/?uuid=ba256931-b876-4cfe-82e9-c4fd35f844cc" ] }, { "id" : "ITEM-2", "itemData" : { "DOI" : "10.1063/1.1332996", "ISBN" : "0021-9606", "ISSN" : "00219606", "PMID" : "166676100020", "abstract" : "In this paper we show the possibility of using very mild stochastic damping to stabilize long time step integrators for Newtonian molecular dynamics. More specifically, stable and accurate integrations are obtained for damping coefficients that are only a few percent of the natural decay rate of processes of interest, such as the velocity autocorrelation function. Two new multiple time stepping integrators, Langevin Molly (LM) and Br\u00fcnger\u2013Brooks\u2013Karplus\u2013Molly (BBK\u2013M), are introduced in this paper. Both use the mollified impulse method for the Newtonian term. LM uses a discretization of the Langevin equation that is exact for the constant force, and BBK\u2013M uses the popular Br\u00fcnger\u2013Brooks\u2013Karplus integrator (BBK). These integrators, along with an extrapolative method called LN, are evaluated across a wide range of damping coefficient values. When large damping coefficients are used, as one would for the implicit modeling of solvent molecules, the method LN is superior, with LM closely following. However, with mild damping of 0.2 ps\u22121, LM produces the best results, allowing long time steps of 14 fs in simulations containing explicitly modeled flexible water. With BBK\u2013M and the same damping coefficient, time steps of 12 fs are possible for the same system. Similar results are obtained for a solvated protein\u2013DNA simulation of estrogen receptor ER with estrogen response element ERE. A parallel version of BBK\u2013M runs nearly three times faster than the Verlet-I/r-RESPA (reversible reference system propagator algorithm) when using the largest stable time step on each one, and it also parallelizes well. The computation of diffusion coefficients for flexible water and ER/ERE shows that when mild damping of up to 0.2 ps\u22121 is used the dynamics are not significantly distorted.", "author" : [ { "dropping-particle" : "", "family" : "Lzaguirre", "given" : "Jesus A.", "non-dropping-particle" : "", "parse-names" : false, "suffix" : "" }, { "dropping-particle" : "", "family" : "Catarello", "given" : "Daniel P.", "non-dropping-particle" : "", "parse-names" : false, "suffix" : "" }, { "dropping-particle" : "", "family" : "Wozniak", "given" : "Justin M.", "non-dropping-particle" : "", "parse-names" : false, "suffix" : "" }, { "dropping-particle" : "", "family" : "Skeel", "given" : "Robert D.", "non-dropping-particle" : "", "parse-names" : false, "suffix" : "" } ], "container-title" : "Journal of Chemical Physics", "id" : "ITEM-2", "issue" : "5", "issued" : { "date-parts" : [ [ "2001" ] ] }, "page" : "2090-2098", "title" : "Langevin stabilization of molecular dynamics", "type" : "article-journal", "volume" : "114" }, "uris" : [ "http://www.mendeley.com/documents/?uuid=c2f64568-e28d-414c-a343-03c1b2d76b54" ] } ], "mendeley" : { "formattedCitation" : "&lt;sup&gt;2,3&lt;/sup&gt;", "plainTextFormattedCitation" : "2,3", "previouslyFormattedCitation" : "&lt;sup&gt;1,2&lt;/sup&gt;" }, "properties" : { "noteIndex" : 0 }, "schema" : "https://github.com/citation-style-language/schema/raw/master/csl-citation.json" }</w:instrText>
      </w:r>
      <w:r w:rsidRPr="00805941">
        <w:rPr>
          <w:szCs w:val="24"/>
          <w:lang w:val="en-GB"/>
        </w:rPr>
        <w:fldChar w:fldCharType="separate"/>
      </w:r>
      <w:r w:rsidRPr="00805941">
        <w:rPr>
          <w:noProof/>
          <w:szCs w:val="24"/>
          <w:vertAlign w:val="superscript"/>
          <w:lang w:val="en-GB"/>
        </w:rPr>
        <w:t>2,3</w:t>
      </w:r>
      <w:r w:rsidRPr="00805941">
        <w:rPr>
          <w:szCs w:val="24"/>
          <w:lang w:val="en-GB"/>
        </w:rPr>
        <w:fldChar w:fldCharType="end"/>
      </w:r>
      <w:r w:rsidRPr="00805941">
        <w:rPr>
          <w:szCs w:val="24"/>
          <w:lang w:val="en-GB"/>
        </w:rPr>
        <w:t xml:space="preserve"> The Particle Mesh Ewald (PME) method was applied to account for long-range electrostatic interactions beyond a cut-off radius of 10 </w:t>
      </w:r>
      <w:r w:rsidRPr="00805941">
        <w:rPr>
          <w:rFonts w:cs="Times"/>
          <w:szCs w:val="24"/>
          <w:lang w:val="en-GB"/>
        </w:rPr>
        <w:t>Å</w:t>
      </w:r>
      <w:r w:rsidRPr="00805941">
        <w:rPr>
          <w:szCs w:val="24"/>
          <w:lang w:val="en-GB"/>
        </w:rPr>
        <w:t>.</w:t>
      </w:r>
      <w:r w:rsidRPr="00805941">
        <w:rPr>
          <w:szCs w:val="24"/>
          <w:lang w:val="en-GB"/>
        </w:rPr>
        <w:fldChar w:fldCharType="begin" w:fldLock="1"/>
      </w:r>
      <w:r w:rsidRPr="00805941">
        <w:rPr>
          <w:szCs w:val="24"/>
          <w:lang w:val="en-GB"/>
        </w:rPr>
        <w:instrText>ADDIN CSL_CITATION { "citationItems" : [ { "id" : "ITEM-1", "itemData" : { "DOI" : "10.1063/1.470117", "author" : [ { "dropping-particle" : "", "family" : "Essmann", "given" : "Ulrich", "non-dropping-particle" : "", "parse-names" : false, "suffix" : "" }, { "dropping-particle" : "", "family" : "Perera", "given" : "Lalith", "non-dropping-particle" : "", "parse-names" : false, "suffix" : "" }, { "dropping-particle" : "", "family" : "Berkowitz", "given" : "Max L", "non-dropping-particle" : "", "parse-names" : false, "suffix" : "" }, { "dropping-particle" : "", "family" : "Darden", "given" : "Tom", "non-dropping-particle" : "", "parse-names" : false, "suffix" : "" }, { "dropping-particle" : "", "family" : "Lee", "given" : "Hsing", "non-dropping-particle" : "", "parse-names" : false, "suffix" : "" }, { "dropping-particle" : "", "family" : "Pedersen", "given" : "Lee G", "non-dropping-particle" : "", "parse-names" : false, "suffix" : "" } ], "container-title" : "The Journal of Chemical Physics", "id" : "ITEM-1", "issue" : "19", "issued" : { "date-parts" : [ [ "1995" ] ] }, "page" : "8577-8593", "title" : "A smooth particle mesh Ewald method", "type" : "article-journal", "volume" : "103" }, "uris" : [ "http://www.mendeley.com/documents/?uuid=42c5027c-8648-4055-80d2-2e92cbc2d0d3" ] } ], "mendeley" : { "formattedCitation" : "&lt;sup&gt;4&lt;/sup&gt;", "plainTextFormattedCitation" : "4", "previouslyFormattedCitation" : "&lt;sup&gt;3&lt;/sup&gt;" }, "properties" : { "noteIndex" : 0 }, "schema" : "https://github.com/citation-style-language/schema/raw/master/csl-citation.json" }</w:instrText>
      </w:r>
      <w:r w:rsidRPr="00805941">
        <w:rPr>
          <w:szCs w:val="24"/>
          <w:lang w:val="en-GB"/>
        </w:rPr>
        <w:fldChar w:fldCharType="separate"/>
      </w:r>
      <w:r w:rsidRPr="00805941">
        <w:rPr>
          <w:noProof/>
          <w:szCs w:val="24"/>
          <w:vertAlign w:val="superscript"/>
          <w:lang w:val="en-GB"/>
        </w:rPr>
        <w:t>4</w:t>
      </w:r>
      <w:r w:rsidRPr="00805941">
        <w:rPr>
          <w:szCs w:val="24"/>
          <w:lang w:val="en-GB"/>
        </w:rPr>
        <w:fldChar w:fldCharType="end"/>
      </w:r>
      <w:r w:rsidRPr="00805941">
        <w:rPr>
          <w:szCs w:val="24"/>
          <w:lang w:val="en-GB"/>
        </w:rPr>
        <w:t xml:space="preserve"> All the covalent bonds involving hydrogen atoms were constrained using the SHAKE algorithm, for an integration time step of 2 fs.</w:t>
      </w:r>
      <w:r w:rsidRPr="00805941">
        <w:rPr>
          <w:szCs w:val="24"/>
          <w:lang w:val="en-GB"/>
        </w:rPr>
        <w:fldChar w:fldCharType="begin" w:fldLock="1"/>
      </w:r>
      <w:r w:rsidRPr="00805941">
        <w:rPr>
          <w:szCs w:val="24"/>
          <w:lang w:val="en-GB"/>
        </w:rPr>
        <w:instrText>ADDIN CSL_CITATION { "citationItems" : [ { "id" : "ITEM-1", "itemData" : { "DOI" : "10.1016/0021-9991(77)90098-5", "ISBN" : "0021-9991", "ISSN" : "10902716", "PMID" : "1494", "abstract" : "A numerical algorithm integrating the 3N Cartesian equations of motion of a system of N points subject to holonomic constraints is formulated. The relations of constraint remain perfectly fulfilled at each step of the trajectory despite the approximate character of numerical integration. The method is applied to a molecular dynamics simulation of a liquid of 64 n-butane molecules and compared to a simulation using generalized coordinates. The method should be useful for molecular dynamics calculations on large molecules with internal degrees of freedom. \u00a9 1977.", "author" : [ { "dropping-particle" : "", "family" : "Ryckaert", "given" : "Jean Paul", "non-dropping-particle" : "", "parse-names" : false, "suffix" : "" }, { "dropping-particle" : "", "family" : "Ciccotti", "given" : "Giovanni", "non-dropping-particle" : "", "parse-names" : false, "suffix" : "" }, { "dropping-particle" : "", "family" : "Berendsen", "given" : "Herman J.C.", "non-dropping-particle" : "", "parse-names" : false, "suffix" : "" } ], "container-title" : "Journal of Computational Physics", "id" : "ITEM-1", "issue" : "3", "issued" : { "date-parts" : [ [ "1977" ] ] }, "page" : "327-341", "title" : "Numerical integration of the cartesian equations of motion of a system with constraints: molecular dynamics of n-alkanes", "type" : "article-journal", "volume" : "23" }, "uris" : [ "http://www.mendeley.com/documents/?uuid=bfebaf2f-5606-4a58-b3b7-65e45ae967cc" ] } ], "mendeley" : { "formattedCitation" : "&lt;sup&gt;5&lt;/sup&gt;", "plainTextFormattedCitation" : "5", "previouslyFormattedCitation" : "&lt;sup&gt;4&lt;/sup&gt;" }, "properties" : { "noteIndex" : 0 }, "schema" : "https://github.com/citation-style-language/schema/raw/master/csl-citation.json" }</w:instrText>
      </w:r>
      <w:r w:rsidRPr="00805941">
        <w:rPr>
          <w:szCs w:val="24"/>
          <w:lang w:val="en-GB"/>
        </w:rPr>
        <w:fldChar w:fldCharType="separate"/>
      </w:r>
      <w:r w:rsidRPr="00805941">
        <w:rPr>
          <w:noProof/>
          <w:szCs w:val="24"/>
          <w:vertAlign w:val="superscript"/>
          <w:lang w:val="en-GB"/>
        </w:rPr>
        <w:t>5</w:t>
      </w:r>
      <w:r w:rsidRPr="00805941">
        <w:rPr>
          <w:szCs w:val="24"/>
          <w:lang w:val="en-GB"/>
        </w:rPr>
        <w:fldChar w:fldCharType="end"/>
      </w:r>
    </w:p>
    <w:p w:rsidR="00805941" w:rsidRDefault="00805941" w:rsidP="00805941">
      <w:pPr>
        <w:pStyle w:val="TAMainText"/>
        <w:ind w:firstLine="0"/>
        <w:rPr>
          <w:lang w:val="en-GB"/>
        </w:rPr>
      </w:pPr>
    </w:p>
    <w:p w:rsidR="00805941" w:rsidRDefault="00805941" w:rsidP="00805941">
      <w:pPr>
        <w:pStyle w:val="TAMainText"/>
        <w:ind w:firstLine="0"/>
        <w:rPr>
          <w:lang w:val="en-GB"/>
        </w:rPr>
      </w:pPr>
      <w:r w:rsidRPr="00805941">
        <w:rPr>
          <w:lang w:val="en-GB"/>
        </w:rPr>
        <w:t xml:space="preserve">SECTION </w:t>
      </w:r>
      <w:r>
        <w:rPr>
          <w:lang w:val="en-GB"/>
        </w:rPr>
        <w:t>2</w:t>
      </w:r>
      <w:r w:rsidRPr="00805941">
        <w:rPr>
          <w:lang w:val="en-GB"/>
        </w:rPr>
        <w:t xml:space="preserve">. </w:t>
      </w:r>
      <w:r>
        <w:rPr>
          <w:lang w:val="en-GB"/>
        </w:rPr>
        <w:t>SUPPORTING RESULTS</w:t>
      </w:r>
    </w:p>
    <w:p w:rsidR="00805941" w:rsidRPr="00805941" w:rsidRDefault="00805941" w:rsidP="00805941">
      <w:pPr>
        <w:pStyle w:val="TAMainText"/>
        <w:ind w:firstLine="0"/>
        <w:rPr>
          <w:i/>
          <w:lang w:val="en-GB"/>
        </w:rPr>
      </w:pPr>
      <w:r w:rsidRPr="00805941">
        <w:rPr>
          <w:i/>
          <w:lang w:val="en-GB"/>
        </w:rPr>
        <w:t xml:space="preserve">2.1. Supporting </w:t>
      </w:r>
      <w:r>
        <w:rPr>
          <w:i/>
          <w:lang w:val="en-GB"/>
        </w:rPr>
        <w:t xml:space="preserve">information for </w:t>
      </w:r>
      <w:r w:rsidRPr="00805941">
        <w:rPr>
          <w:i/>
          <w:lang w:val="en-GB"/>
        </w:rPr>
        <w:t xml:space="preserve">the dataset of </w:t>
      </w:r>
      <w:proofErr w:type="gramStart"/>
      <w:r w:rsidRPr="00805941">
        <w:rPr>
          <w:i/>
          <w:lang w:val="en-GB"/>
        </w:rPr>
        <w:t>P:P</w:t>
      </w:r>
      <w:proofErr w:type="gramEnd"/>
      <w:r w:rsidRPr="00805941">
        <w:rPr>
          <w:i/>
          <w:lang w:val="en-GB"/>
        </w:rPr>
        <w:t xml:space="preserve"> complexes.</w:t>
      </w:r>
    </w:p>
    <w:p w:rsidR="00A541F6" w:rsidRDefault="00A541F6" w:rsidP="00C57EB4">
      <w:pPr>
        <w:pStyle w:val="TAMainText"/>
        <w:ind w:firstLine="0"/>
      </w:pPr>
      <w:r w:rsidRPr="008C4A79">
        <w:rPr>
          <w:b/>
        </w:rPr>
        <w:t>Table ESI-1.</w:t>
      </w:r>
      <w:r w:rsidRPr="008C4A79">
        <w:t xml:space="preserve"> </w:t>
      </w:r>
      <w:r>
        <w:t>Additional</w:t>
      </w:r>
      <w:r w:rsidRPr="008C4A79">
        <w:t xml:space="preserve"> details for the dataset of the </w:t>
      </w:r>
      <w:r>
        <w:t>48</w:t>
      </w:r>
      <w:r w:rsidRPr="008C4A79">
        <w:t xml:space="preserve"> </w:t>
      </w:r>
      <w:proofErr w:type="gramStart"/>
      <w:r w:rsidRPr="008C4A79">
        <w:t>P:P</w:t>
      </w:r>
      <w:proofErr w:type="gramEnd"/>
      <w:r w:rsidRPr="008C4A79">
        <w:t xml:space="preserve"> complexes under study</w:t>
      </w:r>
      <w:r>
        <w:t xml:space="preserve"> </w:t>
      </w:r>
      <w:bookmarkStart w:id="0" w:name="_Hlk514955161"/>
      <w:r>
        <w:t>including the X-ray resolution for the P:P complex, the protein monomers that constitute the P:P complex (and respective PDB ID)</w:t>
      </w:r>
      <w:r w:rsidRPr="00DD0FD2">
        <w:t>.</w:t>
      </w:r>
      <w:bookmarkEnd w:id="0"/>
    </w:p>
    <w:tbl>
      <w:tblPr>
        <w:tblStyle w:val="TabelaSimples41"/>
        <w:tblW w:w="0" w:type="auto"/>
        <w:jc w:val="center"/>
        <w:tblLook w:val="04A0" w:firstRow="1" w:lastRow="0" w:firstColumn="1" w:lastColumn="0" w:noHBand="0" w:noVBand="1"/>
      </w:tblPr>
      <w:tblGrid>
        <w:gridCol w:w="1783"/>
        <w:gridCol w:w="1372"/>
        <w:gridCol w:w="3308"/>
        <w:gridCol w:w="2870"/>
      </w:tblGrid>
      <w:tr w:rsidR="00A541F6" w:rsidRPr="00A541F6" w:rsidTr="00C13010">
        <w:trPr>
          <w:cnfStyle w:val="100000000000" w:firstRow="1" w:lastRow="0" w:firstColumn="0" w:lastColumn="0" w:oddVBand="0" w:evenVBand="0" w:oddHBand="0" w:evenHBand="0" w:firstRowFirstColumn="0" w:firstRowLastColumn="0" w:lastRowFirstColumn="0" w:lastRowLastColumn="0"/>
          <w:trHeight w:val="375"/>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bottom w:val="single" w:sz="4" w:space="0" w:color="auto"/>
            </w:tcBorders>
            <w:shd w:val="clear" w:color="auto" w:fill="auto"/>
            <w:noWrap/>
            <w:vAlign w:val="center"/>
          </w:tcPr>
          <w:p w:rsidR="00A541F6" w:rsidRPr="00A541F6" w:rsidRDefault="00A541F6" w:rsidP="00C13010">
            <w:pPr>
              <w:pStyle w:val="TCTableBody"/>
              <w:jc w:val="center"/>
              <w:rPr>
                <w:sz w:val="20"/>
                <w:lang w:val="en-GB"/>
              </w:rPr>
            </w:pPr>
            <w:r w:rsidRPr="00A541F6">
              <w:rPr>
                <w:sz w:val="20"/>
                <w:lang w:val="en-GB"/>
              </w:rPr>
              <w:t>complex (PDB ID)</w:t>
            </w:r>
          </w:p>
        </w:tc>
        <w:tc>
          <w:tcPr>
            <w:tcW w:w="0" w:type="auto"/>
            <w:tcBorders>
              <w:top w:val="single" w:sz="4" w:space="0" w:color="auto"/>
              <w:bottom w:val="single" w:sz="4" w:space="0" w:color="auto"/>
            </w:tcBorders>
            <w:shd w:val="clear" w:color="auto" w:fill="auto"/>
            <w:noWrap/>
            <w:vAlign w:val="center"/>
          </w:tcPr>
          <w:p w:rsidR="00A541F6" w:rsidRPr="00A541F6" w:rsidRDefault="00A541F6" w:rsidP="00C13010">
            <w:pPr>
              <w:pStyle w:val="TCTableBody"/>
              <w:jc w:val="center"/>
              <w:cnfStyle w:val="100000000000" w:firstRow="1" w:lastRow="0" w:firstColumn="0" w:lastColumn="0" w:oddVBand="0" w:evenVBand="0" w:oddHBand="0" w:evenHBand="0" w:firstRowFirstColumn="0" w:firstRowLastColumn="0" w:lastRowFirstColumn="0" w:lastRowLastColumn="0"/>
              <w:rPr>
                <w:sz w:val="20"/>
                <w:lang w:val="en-GB"/>
              </w:rPr>
            </w:pPr>
            <w:r>
              <w:rPr>
                <w:sz w:val="20"/>
                <w:lang w:val="en-GB"/>
              </w:rPr>
              <w:t>r</w:t>
            </w:r>
            <w:r w:rsidRPr="00A541F6">
              <w:rPr>
                <w:sz w:val="20"/>
                <w:lang w:val="en-GB"/>
              </w:rPr>
              <w:t>esolution</w:t>
            </w:r>
            <w:r>
              <w:rPr>
                <w:sz w:val="20"/>
                <w:lang w:val="en-GB"/>
              </w:rPr>
              <w:t xml:space="preserve"> </w:t>
            </w:r>
            <w:r w:rsidRPr="00A541F6">
              <w:rPr>
                <w:sz w:val="20"/>
                <w:lang w:val="en-GB"/>
              </w:rPr>
              <w:t>/ Å</w:t>
            </w:r>
          </w:p>
        </w:tc>
        <w:tc>
          <w:tcPr>
            <w:tcW w:w="0" w:type="auto"/>
            <w:tcBorders>
              <w:top w:val="single" w:sz="4" w:space="0" w:color="auto"/>
              <w:bottom w:val="single" w:sz="4" w:space="0" w:color="auto"/>
            </w:tcBorders>
            <w:shd w:val="clear" w:color="auto" w:fill="auto"/>
            <w:vAlign w:val="center"/>
          </w:tcPr>
          <w:p w:rsidR="00A541F6" w:rsidRPr="00A541F6" w:rsidRDefault="00A541F6" w:rsidP="00C13010">
            <w:pPr>
              <w:pStyle w:val="TCTableBody"/>
              <w:jc w:val="center"/>
              <w:cnfStyle w:val="100000000000" w:firstRow="1" w:lastRow="0" w:firstColumn="0" w:lastColumn="0" w:oddVBand="0" w:evenVBand="0" w:oddHBand="0" w:evenHBand="0" w:firstRowFirstColumn="0" w:firstRowLastColumn="0" w:lastRowFirstColumn="0" w:lastRowLastColumn="0"/>
              <w:rPr>
                <w:sz w:val="20"/>
                <w:lang w:val="en-GB"/>
              </w:rPr>
            </w:pPr>
            <w:r w:rsidRPr="00A541F6">
              <w:rPr>
                <w:sz w:val="20"/>
                <w:lang w:val="en-GB"/>
              </w:rPr>
              <w:t>monomer A</w:t>
            </w:r>
          </w:p>
        </w:tc>
        <w:tc>
          <w:tcPr>
            <w:tcW w:w="0" w:type="auto"/>
            <w:tcBorders>
              <w:top w:val="single" w:sz="4" w:space="0" w:color="auto"/>
              <w:bottom w:val="single" w:sz="4" w:space="0" w:color="auto"/>
            </w:tcBorders>
            <w:shd w:val="clear" w:color="auto" w:fill="auto"/>
            <w:vAlign w:val="center"/>
          </w:tcPr>
          <w:p w:rsidR="00A541F6" w:rsidRPr="00A541F6" w:rsidRDefault="00A541F6" w:rsidP="00C13010">
            <w:pPr>
              <w:pStyle w:val="TCTableBody"/>
              <w:jc w:val="center"/>
              <w:cnfStyle w:val="100000000000" w:firstRow="1" w:lastRow="0" w:firstColumn="0" w:lastColumn="0" w:oddVBand="0" w:evenVBand="0" w:oddHBand="0" w:evenHBand="0" w:firstRowFirstColumn="0" w:firstRowLastColumn="0" w:lastRowFirstColumn="0" w:lastRowLastColumn="0"/>
              <w:rPr>
                <w:sz w:val="20"/>
                <w:lang w:val="en-GB"/>
              </w:rPr>
            </w:pPr>
            <w:r w:rsidRPr="00A541F6">
              <w:rPr>
                <w:sz w:val="20"/>
                <w:lang w:val="en-GB"/>
              </w:rPr>
              <w:t>monomer B</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en-GB"/>
              </w:rPr>
            </w:pPr>
            <w:r w:rsidRPr="00A541F6">
              <w:rPr>
                <w:sz w:val="20"/>
                <w:lang w:val="en-GB"/>
              </w:rPr>
              <w:t>3HFM</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3.00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HYHEL-10 Igg1 Fab (3HFM)</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hen egg white lysozyme (3HFM)</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1DQJ</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2.00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anti-lysozyme HYHEL-63 (1DQJ)</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lysozyme (1DQJ)</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1VFB</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1.80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Igg1-kappa D1.3 FV (1VFA)</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hen egg white lysozyme (2VB1)</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1JTG</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1.73</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β-lactamase TEM (4GKU)</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β-lactamase inhibitory protein (1JTG)</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1TM1</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1.70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subtilisin BPN' precursor (1TM1)</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chymotrypsin inhibitor 2 (1TM1)</w:t>
            </w:r>
          </w:p>
        </w:tc>
      </w:tr>
      <w:tr w:rsidR="00A541F6" w:rsidRPr="00A541F6" w:rsidTr="00C13010">
        <w:trPr>
          <w:trHeight w:val="34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1Z7X</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1.95</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ribonuclease I (1Z7X)</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ribonuclease inhibitor (1Z7X)</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1CHO</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1.80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α-chymotrypsin A (1YPH)</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 xml:space="preserve">turkey </w:t>
            </w:r>
            <w:proofErr w:type="spellStart"/>
            <w:r w:rsidRPr="00A541F6">
              <w:rPr>
                <w:sz w:val="20"/>
                <w:lang w:val="en-GB"/>
              </w:rPr>
              <w:t>ovomucoid</w:t>
            </w:r>
            <w:proofErr w:type="spellEnd"/>
            <w:r w:rsidRPr="00A541F6">
              <w:rPr>
                <w:sz w:val="20"/>
                <w:lang w:val="en-GB"/>
              </w:rPr>
              <w:t xml:space="preserve"> third domain (2GKR)</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lastRenderedPageBreak/>
              <w:t>3SGB</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1.80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proteinase B (3SGB)</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turkey ovomucoid inhibitor (2GKR)</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1KTZ</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2.15</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 xml:space="preserve">transforming growth factor </w:t>
            </w:r>
            <w:r w:rsidRPr="00A541F6">
              <w:rPr>
                <w:sz w:val="20"/>
                <w:lang w:val="pt-PT"/>
              </w:rPr>
              <w:t>β</w:t>
            </w:r>
            <w:r w:rsidRPr="00A541F6">
              <w:rPr>
                <w:sz w:val="20"/>
                <w:lang w:val="en-GB"/>
              </w:rPr>
              <w:t>3 (1KTZ)</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TGF-beta type II receptor (1KTZ)</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1F47</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1.95</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en-GB"/>
              </w:rPr>
            </w:pPr>
            <w:r w:rsidRPr="00A541F6">
              <w:rPr>
                <w:sz w:val="20"/>
                <w:lang w:val="en-GB"/>
              </w:rPr>
              <w:t xml:space="preserve">cell division protein </w:t>
            </w:r>
            <w:proofErr w:type="spellStart"/>
            <w:r w:rsidRPr="00A541F6">
              <w:rPr>
                <w:sz w:val="20"/>
                <w:lang w:val="en-GB"/>
              </w:rPr>
              <w:t>Zipa</w:t>
            </w:r>
            <w:proofErr w:type="spellEnd"/>
            <w:r w:rsidRPr="00A541F6">
              <w:rPr>
                <w:sz w:val="20"/>
                <w:lang w:val="en-GB"/>
              </w:rPr>
              <w:t xml:space="preserve"> (1F47)</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en-GB"/>
              </w:rPr>
            </w:pPr>
            <w:r w:rsidRPr="00A541F6">
              <w:rPr>
                <w:sz w:val="20"/>
                <w:lang w:val="en-GB"/>
              </w:rPr>
              <w:t>cell division protein FTSZ (1F46)</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1BRS</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2.00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barnase (1A2P)</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barstar (1A19)</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1FCC</w:t>
            </w:r>
          </w:p>
        </w:tc>
        <w:tc>
          <w:tcPr>
            <w:tcW w:w="0" w:type="auto"/>
            <w:shd w:val="clear" w:color="auto" w:fill="auto"/>
            <w:noWrap/>
            <w:vAlign w:val="center"/>
          </w:tcPr>
          <w:p w:rsidR="00A541F6" w:rsidRPr="00A541F6" w:rsidRDefault="00A541F6" w:rsidP="00C13010">
            <w:pPr>
              <w:pStyle w:val="TCTableBody"/>
              <w:spacing w:after="0" w:line="360" w:lineRule="auto"/>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3.20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Protein A/Z (1FCC)</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IgG1 MO61 Fc (1FCC)</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1H9D</w:t>
            </w:r>
          </w:p>
        </w:tc>
        <w:tc>
          <w:tcPr>
            <w:tcW w:w="0" w:type="auto"/>
            <w:shd w:val="clear" w:color="auto" w:fill="auto"/>
            <w:noWrap/>
            <w:vAlign w:val="center"/>
          </w:tcPr>
          <w:p w:rsidR="00A541F6" w:rsidRPr="00A541F6" w:rsidRDefault="00A541F6" w:rsidP="00C13010">
            <w:pPr>
              <w:pStyle w:val="TCTableBody"/>
              <w:spacing w:after="0" w:line="360" w:lineRule="auto"/>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2.60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rPr>
            </w:pPr>
            <w:r w:rsidRPr="00A541F6">
              <w:rPr>
                <w:sz w:val="20"/>
              </w:rPr>
              <w:t>AML1 Runx1 Runt Domain (1H9D)</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rPr>
            </w:pPr>
            <w:r w:rsidRPr="00A541F6">
              <w:rPr>
                <w:sz w:val="20"/>
              </w:rPr>
              <w:t>Core-binding factor beta</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2GOX</w:t>
            </w:r>
          </w:p>
        </w:tc>
        <w:tc>
          <w:tcPr>
            <w:tcW w:w="0" w:type="auto"/>
            <w:shd w:val="clear" w:color="auto" w:fill="auto"/>
            <w:noWrap/>
            <w:vAlign w:val="center"/>
          </w:tcPr>
          <w:p w:rsidR="00A541F6" w:rsidRPr="00A541F6" w:rsidRDefault="00A541F6" w:rsidP="00C13010">
            <w:pPr>
              <w:pStyle w:val="TCTableBody"/>
              <w:spacing w:after="0" w:line="360" w:lineRule="auto"/>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2.20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Complement C3d (2GOX)</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rPr>
            </w:pPr>
            <w:r w:rsidRPr="00A541F6">
              <w:rPr>
                <w:sz w:val="20"/>
              </w:rPr>
              <w:t xml:space="preserve">Fibrinogen-binding protein </w:t>
            </w:r>
            <w:proofErr w:type="spellStart"/>
            <w:r w:rsidRPr="00A541F6">
              <w:rPr>
                <w:sz w:val="20"/>
              </w:rPr>
              <w:t>Efb</w:t>
            </w:r>
            <w:proofErr w:type="spellEnd"/>
            <w:r w:rsidRPr="00A541F6">
              <w:rPr>
                <w:sz w:val="20"/>
              </w:rPr>
              <w:t>-C (2GOX)</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1AK4</w:t>
            </w:r>
          </w:p>
        </w:tc>
        <w:tc>
          <w:tcPr>
            <w:tcW w:w="0" w:type="auto"/>
            <w:shd w:val="clear" w:color="auto" w:fill="auto"/>
            <w:noWrap/>
            <w:vAlign w:val="center"/>
          </w:tcPr>
          <w:p w:rsidR="00A541F6" w:rsidRPr="00A541F6" w:rsidRDefault="00A541F6" w:rsidP="00C13010">
            <w:pPr>
              <w:pStyle w:val="TCTableBody"/>
              <w:spacing w:after="0" w:line="360" w:lineRule="auto"/>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2.36</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Cyclophilin A (1AK4)</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HIV-1 capsid protein (1AK4)</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1EMV</w:t>
            </w:r>
          </w:p>
        </w:tc>
        <w:tc>
          <w:tcPr>
            <w:tcW w:w="0" w:type="auto"/>
            <w:shd w:val="clear" w:color="auto" w:fill="auto"/>
            <w:noWrap/>
            <w:vAlign w:val="center"/>
          </w:tcPr>
          <w:p w:rsidR="00A541F6" w:rsidRPr="00A541F6" w:rsidRDefault="00A541F6" w:rsidP="00C13010">
            <w:pPr>
              <w:pStyle w:val="TCTableBody"/>
              <w:spacing w:after="0" w:line="360" w:lineRule="auto"/>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1.70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rPr>
            </w:pPr>
            <w:r w:rsidRPr="00A541F6">
              <w:rPr>
                <w:sz w:val="20"/>
              </w:rPr>
              <w:t>Colicin E9 immunity protein (1EMV)</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rPr>
            </w:pPr>
            <w:r w:rsidRPr="00A541F6">
              <w:rPr>
                <w:sz w:val="20"/>
              </w:rPr>
              <w:t>Colicin E9 DNase (1EMV)</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1SMF</w:t>
            </w:r>
          </w:p>
        </w:tc>
        <w:tc>
          <w:tcPr>
            <w:tcW w:w="0" w:type="auto"/>
            <w:shd w:val="clear" w:color="auto" w:fill="auto"/>
            <w:noWrap/>
            <w:vAlign w:val="center"/>
          </w:tcPr>
          <w:p w:rsidR="00A541F6" w:rsidRPr="00A541F6" w:rsidRDefault="00A541F6" w:rsidP="00C13010">
            <w:pPr>
              <w:pStyle w:val="TCTableBody"/>
              <w:spacing w:after="0" w:line="360" w:lineRule="auto"/>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2.10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Bovine trypsin (1SMF)</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rPr>
            </w:pPr>
            <w:r w:rsidRPr="00A541F6">
              <w:rPr>
                <w:sz w:val="20"/>
              </w:rPr>
              <w:t>Mung bean inhibitor peptide (1SMF)</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1FFW</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2.70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chemotaxis protein chey (3CHY)</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chemotaxis protein chea (1FWP)</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1DVF</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1.90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FV D1.3 (1VFA)</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FV E5.2 (1DVF)</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1A4Y</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2.00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ribonuclease inhibitor (1A4Y)</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angiogenin (4AOH)</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2JEL</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2.50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JEL42 FAB fragment (2JEL)</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histidine-containing protein (1HDN)</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1CBW</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2.60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bovine chymotrypsin (1AFQ)</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BPTI (1OA5)</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1R0R</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1.10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Subtilisin carlsberg (1SCA)</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Ovomucoid (2GKR)</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1PPF</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1.80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human leukocyte elastase (5ABW)</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turkey ovomucoid inhibitor (1OMT)</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2G2U</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1.60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rFonts w:cs="Times"/>
                <w:sz w:val="20"/>
                <w:lang w:val="pt-PT"/>
              </w:rPr>
              <w:t>β</w:t>
            </w:r>
            <w:r w:rsidRPr="00A541F6">
              <w:rPr>
                <w:sz w:val="20"/>
                <w:lang w:val="pt-PT"/>
              </w:rPr>
              <w:t>-lactamase SHV-1 (4FH4)</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rFonts w:cs="Times"/>
                <w:sz w:val="20"/>
                <w:lang w:val="pt-PT"/>
              </w:rPr>
              <w:t>β</w:t>
            </w:r>
            <w:r w:rsidRPr="00A541F6">
              <w:rPr>
                <w:sz w:val="20"/>
                <w:lang w:val="pt-PT"/>
              </w:rPr>
              <w:t>-lactamase inhibitory protein (3GMU)</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pt-PT"/>
              </w:rPr>
              <w:t>1EAW</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2.93</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supressor of tumorigenicity (1EAX)</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pancreatic trypsin inhibitor (1OA5)</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2VXT</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en-GB"/>
              </w:rPr>
              <w:t>1.49</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Murine reference antibody 125-2H Fab</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Interleukin-18</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2W9E</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en-GB"/>
              </w:rPr>
              <w:t>2.90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ICSM 18 Fab fragment</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Prion protein fragment</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3EOA</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en-GB"/>
              </w:rPr>
              <w:t>2.80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Efalizumab Fab fragment</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Integrin alpha-L I domain</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3L5W</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en-GB"/>
              </w:rPr>
              <w:t>2.00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C836 Fab (3L7E)</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Interleukin-13 (1IK0)</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4DN4</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en-GB"/>
              </w:rPr>
              <w:t>2.80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CNTO888 Fab (4DN3)</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MCP-1 (1DOL)</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lastRenderedPageBreak/>
              <w:t>4G6M</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en-GB"/>
              </w:rPr>
              <w:t>1.81</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Gevokizumab antibody fragment</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Interleukin-1 beta</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2A1A</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en-GB"/>
              </w:rPr>
              <w:t>2.80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Eukaryotic translation initiation factor 2-alpha-kinase 2</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eIF2 alpha-subunit</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3A4S</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en-GB"/>
              </w:rPr>
              <w:t>2.70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SUMO-conjugating enzyme UBC9</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en-GB"/>
              </w:rPr>
            </w:pPr>
            <w:r w:rsidRPr="00A541F6">
              <w:rPr>
                <w:sz w:val="20"/>
                <w:lang w:val="en-GB"/>
              </w:rPr>
              <w:t>NFATC2-interacting protein SLD2 ubiquitin-like domain</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3FN1</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en-GB"/>
              </w:rPr>
              <w:t>2.50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proofErr w:type="spellStart"/>
            <w:r w:rsidRPr="00A541F6">
              <w:rPr>
                <w:sz w:val="20"/>
                <w:lang w:val="en-GB"/>
              </w:rPr>
              <w:t>UQ_con</w:t>
            </w:r>
            <w:proofErr w:type="spellEnd"/>
            <w:r w:rsidRPr="00A541F6">
              <w:rPr>
                <w:sz w:val="20"/>
                <w:lang w:val="en-GB"/>
              </w:rPr>
              <w:t xml:space="preserve"> domain from NEDD8-conjugating enzyme UBE2F (2EDI)</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NEDD8-activating enzyme E1 catalytic subunit (2LQ7)</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3K75</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en-GB"/>
              </w:rPr>
              <w:t>2.95</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DNA polymerase beta</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en-GB"/>
              </w:rPr>
            </w:pPr>
            <w:r w:rsidRPr="00A541F6">
              <w:rPr>
                <w:sz w:val="20"/>
                <w:lang w:val="en-GB"/>
              </w:rPr>
              <w:t>Reduced XRCC1, N-terminal domain</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3PC8</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en-GB"/>
              </w:rPr>
              <w:t>2.31</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DNA repair protein XRCC1</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DNA ligase III-alpha-BRCT Domain</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4IZ7</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en-GB"/>
              </w:rPr>
              <w:t>1.80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Non-phosphorylated ERK</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en-GB"/>
              </w:rPr>
            </w:pPr>
            <w:r w:rsidRPr="00A541F6">
              <w:rPr>
                <w:sz w:val="20"/>
                <w:lang w:val="en-GB"/>
              </w:rPr>
              <w:t>PEA-15 Death Effector Domain</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3VLB</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en-GB"/>
              </w:rPr>
              <w:t>2.70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EDGP</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Xyloglucan-specific</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3H11</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en-GB"/>
              </w:rPr>
              <w:t>1.90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Caspase-8 (4JJ7)</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en-GB"/>
              </w:rPr>
            </w:pPr>
            <w:r w:rsidRPr="00A541F6">
              <w:rPr>
                <w:sz w:val="20"/>
                <w:lang w:val="en-GB"/>
              </w:rPr>
              <w:t>c-FLIPL protease-like domain (3H13)</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1M27</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en-GB"/>
              </w:rPr>
              <w:t>2.50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SAP-SLAM complex (1D4T)</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Fyn kinase SH3 domain (3UA6)</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2X9A</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en-GB"/>
              </w:rPr>
              <w:t>2.50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TolA C-terminal domain</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en-GB"/>
              </w:rPr>
            </w:pPr>
            <w:r w:rsidRPr="00A541F6">
              <w:rPr>
                <w:sz w:val="20"/>
                <w:lang w:val="en-GB"/>
              </w:rPr>
              <w:t xml:space="preserve">G3P </w:t>
            </w:r>
            <w:proofErr w:type="spellStart"/>
            <w:r w:rsidRPr="00A541F6">
              <w:rPr>
                <w:sz w:val="20"/>
                <w:lang w:val="en-GB"/>
              </w:rPr>
              <w:t>TolA</w:t>
            </w:r>
            <w:proofErr w:type="spellEnd"/>
            <w:r w:rsidRPr="00A541F6">
              <w:rPr>
                <w:sz w:val="20"/>
                <w:lang w:val="en-GB"/>
              </w:rPr>
              <w:t xml:space="preserve"> binding domain</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3AAD</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en-GB"/>
              </w:rPr>
              <w:t>3.30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Double bromodomain (1EQF)</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Histone chaperone ASF1 (1TEY)</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3BX7</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en-GB"/>
              </w:rPr>
              <w:t>2.10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Lipocalin 2</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CTLA-4 extracellular domain</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3F1P</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en-GB"/>
              </w:rPr>
              <w:t>1.17</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HIF2 alpha-C-terminal PAS domain (1P97)</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ARNT C-terminal PAS domain (1X0O)</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pt-PT"/>
              </w:rPr>
            </w:pPr>
            <w:r w:rsidRPr="00A541F6">
              <w:rPr>
                <w:sz w:val="20"/>
                <w:lang w:val="en-GB"/>
              </w:rPr>
              <w:t>3S9D</w:t>
            </w:r>
          </w:p>
        </w:tc>
        <w:tc>
          <w:tcPr>
            <w:tcW w:w="0" w:type="auto"/>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en-GB"/>
              </w:rPr>
              <w:t>2.00</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IFNAR2</w:t>
            </w:r>
          </w:p>
        </w:tc>
        <w:tc>
          <w:tcPr>
            <w:tcW w:w="0" w:type="auto"/>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IFNa2</w:t>
            </w:r>
          </w:p>
        </w:tc>
      </w:tr>
      <w:tr w:rsidR="00A541F6" w:rsidRPr="00A541F6" w:rsidTr="00C13010">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noWrap/>
            <w:vAlign w:val="center"/>
          </w:tcPr>
          <w:p w:rsidR="00A541F6" w:rsidRPr="00A541F6" w:rsidRDefault="00A541F6" w:rsidP="00C13010">
            <w:pPr>
              <w:pStyle w:val="TCTableBody"/>
              <w:jc w:val="center"/>
              <w:rPr>
                <w:sz w:val="20"/>
                <w:lang w:val="en-GB"/>
              </w:rPr>
            </w:pPr>
            <w:r w:rsidRPr="00A541F6">
              <w:rPr>
                <w:sz w:val="20"/>
                <w:lang w:val="en-GB"/>
              </w:rPr>
              <w:t>4M76</w:t>
            </w:r>
          </w:p>
        </w:tc>
        <w:tc>
          <w:tcPr>
            <w:tcW w:w="0" w:type="auto"/>
            <w:shd w:val="clear" w:color="auto" w:fill="auto"/>
            <w:noWrap/>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2.80</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pt-PT"/>
              </w:rPr>
            </w:pPr>
            <w:r w:rsidRPr="00A541F6">
              <w:rPr>
                <w:sz w:val="20"/>
                <w:lang w:val="pt-PT"/>
              </w:rPr>
              <w:t>C3D (1C3D)</w:t>
            </w:r>
          </w:p>
        </w:tc>
        <w:tc>
          <w:tcPr>
            <w:tcW w:w="0" w:type="auto"/>
            <w:shd w:val="clear" w:color="auto" w:fill="auto"/>
            <w:vAlign w:val="center"/>
          </w:tcPr>
          <w:p w:rsidR="00A541F6" w:rsidRPr="00A541F6" w:rsidRDefault="00A541F6" w:rsidP="00C13010">
            <w:pPr>
              <w:pStyle w:val="TCTableBody"/>
              <w:jc w:val="center"/>
              <w:cnfStyle w:val="000000100000" w:firstRow="0" w:lastRow="0" w:firstColumn="0" w:lastColumn="0" w:oddVBand="0" w:evenVBand="0" w:oddHBand="1" w:evenHBand="0" w:firstRowFirstColumn="0" w:firstRowLastColumn="0" w:lastRowFirstColumn="0" w:lastRowLastColumn="0"/>
              <w:rPr>
                <w:sz w:val="20"/>
                <w:lang w:val="en-GB"/>
              </w:rPr>
            </w:pPr>
            <w:r w:rsidRPr="00A541F6">
              <w:rPr>
                <w:sz w:val="20"/>
                <w:lang w:val="en-GB"/>
              </w:rPr>
              <w:t>Integrin alpha-M CD11B A-domain (1M1U)</w:t>
            </w:r>
          </w:p>
        </w:tc>
      </w:tr>
      <w:tr w:rsidR="00A541F6" w:rsidRPr="00A541F6" w:rsidTr="00C13010">
        <w:trPr>
          <w:trHeight w:val="300"/>
          <w:jc w:val="cent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auto"/>
            </w:tcBorders>
            <w:shd w:val="clear" w:color="auto" w:fill="auto"/>
            <w:noWrap/>
            <w:vAlign w:val="center"/>
          </w:tcPr>
          <w:p w:rsidR="00A541F6" w:rsidRPr="00A541F6" w:rsidRDefault="00A541F6" w:rsidP="00C13010">
            <w:pPr>
              <w:pStyle w:val="TCTableBody"/>
              <w:jc w:val="center"/>
              <w:rPr>
                <w:sz w:val="20"/>
                <w:lang w:val="en-GB"/>
              </w:rPr>
            </w:pPr>
            <w:r w:rsidRPr="00A541F6">
              <w:rPr>
                <w:sz w:val="20"/>
                <w:lang w:val="en-GB"/>
              </w:rPr>
              <w:t>3H2V</w:t>
            </w:r>
          </w:p>
        </w:tc>
        <w:tc>
          <w:tcPr>
            <w:tcW w:w="0" w:type="auto"/>
            <w:tcBorders>
              <w:bottom w:val="single" w:sz="4" w:space="0" w:color="auto"/>
            </w:tcBorders>
            <w:shd w:val="clear" w:color="auto" w:fill="auto"/>
            <w:noWrap/>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en-GB"/>
              </w:rPr>
            </w:pPr>
            <w:r w:rsidRPr="00A541F6">
              <w:rPr>
                <w:sz w:val="20"/>
                <w:lang w:val="en-GB"/>
              </w:rPr>
              <w:t>2.90</w:t>
            </w:r>
          </w:p>
        </w:tc>
        <w:tc>
          <w:tcPr>
            <w:tcW w:w="0" w:type="auto"/>
            <w:tcBorders>
              <w:bottom w:val="single" w:sz="4" w:space="0" w:color="auto"/>
            </w:tcBorders>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Vinculin tail domain</w:t>
            </w:r>
          </w:p>
        </w:tc>
        <w:tc>
          <w:tcPr>
            <w:tcW w:w="0" w:type="auto"/>
            <w:tcBorders>
              <w:bottom w:val="single" w:sz="4" w:space="0" w:color="auto"/>
            </w:tcBorders>
            <w:shd w:val="clear" w:color="auto" w:fill="auto"/>
            <w:vAlign w:val="center"/>
          </w:tcPr>
          <w:p w:rsidR="00A541F6" w:rsidRPr="00A541F6" w:rsidRDefault="00A541F6" w:rsidP="00C13010">
            <w:pPr>
              <w:pStyle w:val="TCTableBody"/>
              <w:jc w:val="center"/>
              <w:cnfStyle w:val="000000000000" w:firstRow="0" w:lastRow="0" w:firstColumn="0" w:lastColumn="0" w:oddVBand="0" w:evenVBand="0" w:oddHBand="0" w:evenHBand="0" w:firstRowFirstColumn="0" w:firstRowLastColumn="0" w:lastRowFirstColumn="0" w:lastRowLastColumn="0"/>
              <w:rPr>
                <w:sz w:val="20"/>
                <w:lang w:val="pt-PT"/>
              </w:rPr>
            </w:pPr>
            <w:r w:rsidRPr="00A541F6">
              <w:rPr>
                <w:sz w:val="20"/>
                <w:lang w:val="pt-PT"/>
              </w:rPr>
              <w:t>Raver1 RRM1 domain</w:t>
            </w:r>
          </w:p>
        </w:tc>
      </w:tr>
    </w:tbl>
    <w:p w:rsidR="00A541F6" w:rsidRDefault="00A541F6" w:rsidP="00C57EB4">
      <w:pPr>
        <w:pStyle w:val="TAMainText"/>
        <w:ind w:firstLine="0"/>
      </w:pPr>
    </w:p>
    <w:p w:rsidR="00805941" w:rsidRDefault="00805941" w:rsidP="00C13010">
      <w:pPr>
        <w:pStyle w:val="VDTableTitle"/>
        <w:rPr>
          <w:b/>
        </w:rPr>
      </w:pPr>
    </w:p>
    <w:p w:rsidR="00805941" w:rsidRDefault="00805941" w:rsidP="00C13010">
      <w:pPr>
        <w:pStyle w:val="VDTableTitle"/>
        <w:rPr>
          <w:b/>
        </w:rPr>
      </w:pPr>
    </w:p>
    <w:p w:rsidR="00805941" w:rsidRDefault="00805941" w:rsidP="00C13010">
      <w:pPr>
        <w:pStyle w:val="VDTableTitle"/>
        <w:rPr>
          <w:b/>
        </w:rPr>
      </w:pPr>
    </w:p>
    <w:p w:rsidR="00805941" w:rsidRDefault="00805941" w:rsidP="00C13010">
      <w:pPr>
        <w:pStyle w:val="VDTableTitle"/>
        <w:rPr>
          <w:b/>
        </w:rPr>
      </w:pPr>
    </w:p>
    <w:p w:rsidR="00805941" w:rsidRPr="00805941" w:rsidRDefault="00805941" w:rsidP="00805941">
      <w:pPr>
        <w:pStyle w:val="TAMainText"/>
        <w:ind w:firstLine="0"/>
        <w:rPr>
          <w:i/>
          <w:lang w:val="en-GB"/>
        </w:rPr>
      </w:pPr>
      <w:r w:rsidRPr="00805941">
        <w:rPr>
          <w:i/>
          <w:lang w:val="en-GB"/>
        </w:rPr>
        <w:lastRenderedPageBreak/>
        <w:t>2.</w:t>
      </w:r>
      <w:r>
        <w:rPr>
          <w:i/>
          <w:lang w:val="en-GB"/>
        </w:rPr>
        <w:t>2</w:t>
      </w:r>
      <w:r w:rsidRPr="00805941">
        <w:rPr>
          <w:i/>
          <w:lang w:val="en-GB"/>
        </w:rPr>
        <w:t>. Supporting</w:t>
      </w:r>
      <w:r>
        <w:rPr>
          <w:i/>
          <w:lang w:val="en-GB"/>
        </w:rPr>
        <w:t xml:space="preserve"> information for the </w:t>
      </w:r>
      <w:r>
        <w:rPr>
          <w:i/>
        </w:rPr>
        <w:t>p</w:t>
      </w:r>
      <w:r w:rsidRPr="001677AE">
        <w:rPr>
          <w:i/>
        </w:rPr>
        <w:t xml:space="preserve">erformance of the different properties in ranking </w:t>
      </w:r>
      <w:proofErr w:type="gramStart"/>
      <w:r w:rsidRPr="001677AE">
        <w:rPr>
          <w:i/>
        </w:rPr>
        <w:t>P:P</w:t>
      </w:r>
      <w:proofErr w:type="gramEnd"/>
      <w:r w:rsidRPr="001677AE">
        <w:rPr>
          <w:i/>
        </w:rPr>
        <w:t xml:space="preserve"> docking poses</w:t>
      </w:r>
      <w:r w:rsidRPr="00805941">
        <w:rPr>
          <w:i/>
          <w:lang w:val="en-GB"/>
        </w:rPr>
        <w:t>.</w:t>
      </w:r>
    </w:p>
    <w:p w:rsidR="00C13010" w:rsidRPr="008C4A79" w:rsidRDefault="00C13010" w:rsidP="00C13010">
      <w:pPr>
        <w:pStyle w:val="VDTableTitle"/>
      </w:pPr>
      <w:r w:rsidRPr="008C4A79">
        <w:rPr>
          <w:b/>
        </w:rPr>
        <w:t>Table ESI-2.</w:t>
      </w:r>
      <w:r w:rsidRPr="008C4A79">
        <w:t xml:space="preserve"> Average number of high-quality and medium-quality, and incorrect poses</w:t>
      </w:r>
      <w:r w:rsidR="00AA69AB">
        <w:t xml:space="preserve"> for dataset 1 (37 docking cases)</w:t>
      </w:r>
      <w:r w:rsidRPr="008C4A79">
        <w:t xml:space="preserve">. The average </w:t>
      </w:r>
      <w:proofErr w:type="spellStart"/>
      <w:r w:rsidRPr="008C4A79">
        <w:rPr>
          <w:i/>
        </w:rPr>
        <w:t>i</w:t>
      </w:r>
      <w:r w:rsidRPr="008C4A79">
        <w:t>RMSD</w:t>
      </w:r>
      <w:proofErr w:type="spellEnd"/>
      <w:r w:rsidRPr="008C4A79">
        <w:t xml:space="preserve"> of the total number of poses over all complexes of </w:t>
      </w:r>
      <w:proofErr w:type="gramStart"/>
      <w:r w:rsidRPr="008C4A79">
        <w:t>B:B</w:t>
      </w:r>
      <w:proofErr w:type="gramEnd"/>
      <w:r w:rsidRPr="008C4A79">
        <w:t xml:space="preserve"> and B:U/U:U cases is also depicted. </w:t>
      </w:r>
    </w:p>
    <w:tbl>
      <w:tblPr>
        <w:tblW w:w="9214" w:type="dxa"/>
        <w:jc w:val="center"/>
        <w:tblCellMar>
          <w:left w:w="70" w:type="dxa"/>
          <w:right w:w="70" w:type="dxa"/>
        </w:tblCellMar>
        <w:tblLook w:val="04A0" w:firstRow="1" w:lastRow="0" w:firstColumn="1" w:lastColumn="0" w:noHBand="0" w:noVBand="1"/>
      </w:tblPr>
      <w:tblGrid>
        <w:gridCol w:w="2977"/>
        <w:gridCol w:w="3260"/>
        <w:gridCol w:w="2977"/>
      </w:tblGrid>
      <w:tr w:rsidR="00C13010" w:rsidRPr="008C4A79" w:rsidTr="00EB057B">
        <w:trPr>
          <w:trHeight w:val="300"/>
          <w:jc w:val="center"/>
        </w:trPr>
        <w:tc>
          <w:tcPr>
            <w:tcW w:w="2977" w:type="dxa"/>
            <w:tcBorders>
              <w:top w:val="nil"/>
              <w:left w:val="nil"/>
              <w:bottom w:val="nil"/>
              <w:right w:val="single" w:sz="4" w:space="0" w:color="auto"/>
            </w:tcBorders>
            <w:shd w:val="clear" w:color="auto" w:fill="auto"/>
            <w:noWrap/>
            <w:vAlign w:val="center"/>
            <w:hideMark/>
          </w:tcPr>
          <w:p w:rsidR="00C13010" w:rsidRPr="008C4A79" w:rsidRDefault="00C13010" w:rsidP="00EB057B">
            <w:pPr>
              <w:pStyle w:val="TCTableBody"/>
              <w:spacing w:after="0"/>
              <w:jc w:val="center"/>
              <w:rPr>
                <w:sz w:val="20"/>
              </w:rPr>
            </w:pPr>
          </w:p>
        </w:tc>
        <w:tc>
          <w:tcPr>
            <w:tcW w:w="3260" w:type="dxa"/>
            <w:tcBorders>
              <w:top w:val="nil"/>
              <w:left w:val="single" w:sz="4" w:space="0" w:color="auto"/>
              <w:bottom w:val="single" w:sz="4" w:space="0" w:color="auto"/>
              <w:right w:val="single" w:sz="4" w:space="0" w:color="auto"/>
            </w:tcBorders>
            <w:shd w:val="clear" w:color="auto" w:fill="auto"/>
            <w:vAlign w:val="center"/>
            <w:hideMark/>
          </w:tcPr>
          <w:p w:rsidR="00C13010" w:rsidRPr="008C4A79" w:rsidRDefault="00C13010" w:rsidP="00EB057B">
            <w:pPr>
              <w:pStyle w:val="TCTableBody"/>
              <w:spacing w:after="0"/>
              <w:jc w:val="center"/>
              <w:rPr>
                <w:sz w:val="20"/>
              </w:rPr>
            </w:pPr>
            <w:proofErr w:type="gramStart"/>
            <w:r w:rsidRPr="008C4A79">
              <w:rPr>
                <w:sz w:val="20"/>
              </w:rPr>
              <w:t>U:U</w:t>
            </w:r>
            <w:proofErr w:type="gramEnd"/>
            <w:r w:rsidRPr="008C4A79">
              <w:rPr>
                <w:sz w:val="20"/>
              </w:rPr>
              <w:t xml:space="preserve"> and B:U </w:t>
            </w:r>
          </w:p>
          <w:p w:rsidR="00C13010" w:rsidRPr="008C4A79" w:rsidRDefault="00C13010" w:rsidP="00EB057B">
            <w:pPr>
              <w:pStyle w:val="TCTableBody"/>
              <w:spacing w:after="0"/>
              <w:jc w:val="center"/>
              <w:rPr>
                <w:sz w:val="20"/>
              </w:rPr>
            </w:pPr>
            <w:r w:rsidRPr="008C4A79">
              <w:rPr>
                <w:sz w:val="20"/>
              </w:rPr>
              <w:t>(20 complexes)</w:t>
            </w:r>
          </w:p>
        </w:tc>
        <w:tc>
          <w:tcPr>
            <w:tcW w:w="2977" w:type="dxa"/>
            <w:tcBorders>
              <w:top w:val="nil"/>
              <w:left w:val="single" w:sz="4" w:space="0" w:color="auto"/>
              <w:bottom w:val="single" w:sz="4" w:space="0" w:color="auto"/>
              <w:right w:val="nil"/>
            </w:tcBorders>
            <w:shd w:val="clear" w:color="auto" w:fill="auto"/>
            <w:vAlign w:val="center"/>
            <w:hideMark/>
          </w:tcPr>
          <w:p w:rsidR="00C13010" w:rsidRPr="008C4A79" w:rsidRDefault="00C13010" w:rsidP="00EB057B">
            <w:pPr>
              <w:pStyle w:val="TCTableBody"/>
              <w:spacing w:after="0"/>
              <w:jc w:val="center"/>
              <w:rPr>
                <w:sz w:val="20"/>
              </w:rPr>
            </w:pPr>
            <w:proofErr w:type="gramStart"/>
            <w:r w:rsidRPr="008C4A79">
              <w:rPr>
                <w:sz w:val="20"/>
              </w:rPr>
              <w:t>B:B</w:t>
            </w:r>
            <w:proofErr w:type="gramEnd"/>
          </w:p>
          <w:p w:rsidR="00C13010" w:rsidRPr="008C4A79" w:rsidRDefault="00C13010" w:rsidP="00EB057B">
            <w:pPr>
              <w:pStyle w:val="TCTableBody"/>
              <w:spacing w:after="0"/>
              <w:jc w:val="center"/>
              <w:rPr>
                <w:sz w:val="20"/>
              </w:rPr>
            </w:pPr>
            <w:r w:rsidRPr="008C4A79">
              <w:rPr>
                <w:sz w:val="20"/>
              </w:rPr>
              <w:t>(17 complexes)</w:t>
            </w:r>
          </w:p>
        </w:tc>
      </w:tr>
      <w:tr w:rsidR="00C13010" w:rsidRPr="008C4A79" w:rsidTr="00EB057B">
        <w:trPr>
          <w:trHeight w:val="300"/>
          <w:jc w:val="center"/>
        </w:trPr>
        <w:tc>
          <w:tcPr>
            <w:tcW w:w="2977" w:type="dxa"/>
            <w:tcBorders>
              <w:top w:val="single" w:sz="4" w:space="0" w:color="auto"/>
              <w:left w:val="nil"/>
              <w:bottom w:val="nil"/>
              <w:right w:val="single" w:sz="4" w:space="0" w:color="auto"/>
            </w:tcBorders>
            <w:shd w:val="clear" w:color="auto" w:fill="auto"/>
            <w:noWrap/>
            <w:vAlign w:val="center"/>
            <w:hideMark/>
          </w:tcPr>
          <w:p w:rsidR="00C13010" w:rsidRPr="008C4A79" w:rsidRDefault="00C13010" w:rsidP="00EB057B">
            <w:pPr>
              <w:pStyle w:val="TCTableBody"/>
              <w:spacing w:after="0"/>
              <w:jc w:val="left"/>
              <w:rPr>
                <w:sz w:val="20"/>
              </w:rPr>
            </w:pPr>
            <w:r w:rsidRPr="008C4A79">
              <w:rPr>
                <w:sz w:val="20"/>
              </w:rPr>
              <w:t>high-, medium-quality poses</w:t>
            </w:r>
          </w:p>
        </w:tc>
        <w:tc>
          <w:tcPr>
            <w:tcW w:w="3260" w:type="dxa"/>
            <w:tcBorders>
              <w:top w:val="nil"/>
              <w:left w:val="single" w:sz="4" w:space="0" w:color="auto"/>
              <w:bottom w:val="nil"/>
              <w:right w:val="single" w:sz="4" w:space="0" w:color="auto"/>
            </w:tcBorders>
            <w:shd w:val="clear" w:color="auto" w:fill="auto"/>
            <w:noWrap/>
            <w:vAlign w:val="center"/>
            <w:hideMark/>
          </w:tcPr>
          <w:p w:rsidR="00C13010" w:rsidRPr="008C4A79" w:rsidRDefault="00C13010" w:rsidP="00EB057B">
            <w:pPr>
              <w:pStyle w:val="TCTableBody"/>
              <w:spacing w:after="0"/>
              <w:jc w:val="center"/>
              <w:rPr>
                <w:sz w:val="20"/>
              </w:rPr>
            </w:pPr>
            <w:r w:rsidRPr="008C4A79">
              <w:rPr>
                <w:sz w:val="20"/>
              </w:rPr>
              <w:t>7</w:t>
            </w:r>
          </w:p>
        </w:tc>
        <w:tc>
          <w:tcPr>
            <w:tcW w:w="2977" w:type="dxa"/>
            <w:tcBorders>
              <w:top w:val="nil"/>
              <w:left w:val="single" w:sz="4" w:space="0" w:color="auto"/>
              <w:bottom w:val="nil"/>
              <w:right w:val="nil"/>
            </w:tcBorders>
            <w:shd w:val="clear" w:color="auto" w:fill="auto"/>
            <w:noWrap/>
            <w:vAlign w:val="center"/>
            <w:hideMark/>
          </w:tcPr>
          <w:p w:rsidR="00C13010" w:rsidRPr="008C4A79" w:rsidRDefault="00C13010" w:rsidP="00EB057B">
            <w:pPr>
              <w:pStyle w:val="TCTableBody"/>
              <w:spacing w:after="0"/>
              <w:jc w:val="center"/>
              <w:rPr>
                <w:sz w:val="20"/>
              </w:rPr>
            </w:pPr>
            <w:r w:rsidRPr="008C4A79">
              <w:rPr>
                <w:sz w:val="20"/>
              </w:rPr>
              <w:t>11</w:t>
            </w:r>
          </w:p>
        </w:tc>
      </w:tr>
      <w:tr w:rsidR="00C13010" w:rsidRPr="008C4A79" w:rsidTr="00EB057B">
        <w:trPr>
          <w:trHeight w:val="300"/>
          <w:jc w:val="center"/>
        </w:trPr>
        <w:tc>
          <w:tcPr>
            <w:tcW w:w="2977" w:type="dxa"/>
            <w:tcBorders>
              <w:top w:val="nil"/>
              <w:left w:val="nil"/>
              <w:bottom w:val="nil"/>
              <w:right w:val="single" w:sz="4" w:space="0" w:color="auto"/>
            </w:tcBorders>
            <w:shd w:val="clear" w:color="auto" w:fill="auto"/>
            <w:noWrap/>
            <w:vAlign w:val="center"/>
            <w:hideMark/>
          </w:tcPr>
          <w:p w:rsidR="00C13010" w:rsidRPr="008C4A79" w:rsidRDefault="00C13010" w:rsidP="00EB057B">
            <w:pPr>
              <w:pStyle w:val="TCTableBody"/>
              <w:spacing w:after="0"/>
              <w:jc w:val="left"/>
              <w:rPr>
                <w:sz w:val="20"/>
              </w:rPr>
            </w:pPr>
            <w:r w:rsidRPr="008C4A79">
              <w:rPr>
                <w:sz w:val="20"/>
              </w:rPr>
              <w:t>incorrect poses</w:t>
            </w:r>
          </w:p>
        </w:tc>
        <w:tc>
          <w:tcPr>
            <w:tcW w:w="3260" w:type="dxa"/>
            <w:tcBorders>
              <w:top w:val="nil"/>
              <w:left w:val="single" w:sz="4" w:space="0" w:color="auto"/>
              <w:bottom w:val="nil"/>
              <w:right w:val="single" w:sz="4" w:space="0" w:color="auto"/>
            </w:tcBorders>
            <w:shd w:val="clear" w:color="auto" w:fill="auto"/>
            <w:noWrap/>
            <w:vAlign w:val="center"/>
            <w:hideMark/>
          </w:tcPr>
          <w:p w:rsidR="00C13010" w:rsidRPr="008C4A79" w:rsidRDefault="00C13010" w:rsidP="00EB057B">
            <w:pPr>
              <w:pStyle w:val="TCTableBody"/>
              <w:spacing w:after="0"/>
              <w:jc w:val="center"/>
              <w:rPr>
                <w:sz w:val="20"/>
              </w:rPr>
            </w:pPr>
            <w:r w:rsidRPr="008C4A79">
              <w:rPr>
                <w:sz w:val="20"/>
              </w:rPr>
              <w:t>7</w:t>
            </w:r>
          </w:p>
        </w:tc>
        <w:tc>
          <w:tcPr>
            <w:tcW w:w="2977" w:type="dxa"/>
            <w:tcBorders>
              <w:top w:val="nil"/>
              <w:left w:val="single" w:sz="4" w:space="0" w:color="auto"/>
              <w:bottom w:val="nil"/>
              <w:right w:val="nil"/>
            </w:tcBorders>
            <w:shd w:val="clear" w:color="auto" w:fill="auto"/>
            <w:noWrap/>
            <w:vAlign w:val="center"/>
            <w:hideMark/>
          </w:tcPr>
          <w:p w:rsidR="00C13010" w:rsidRPr="008C4A79" w:rsidRDefault="00C13010" w:rsidP="00EB057B">
            <w:pPr>
              <w:pStyle w:val="TCTableBody"/>
              <w:spacing w:after="0"/>
              <w:jc w:val="center"/>
              <w:rPr>
                <w:sz w:val="20"/>
              </w:rPr>
            </w:pPr>
            <w:r w:rsidRPr="008C4A79">
              <w:rPr>
                <w:sz w:val="20"/>
              </w:rPr>
              <w:t>5</w:t>
            </w:r>
          </w:p>
        </w:tc>
      </w:tr>
      <w:tr w:rsidR="00C13010" w:rsidRPr="00794F23" w:rsidTr="00EB057B">
        <w:trPr>
          <w:trHeight w:val="300"/>
          <w:jc w:val="center"/>
        </w:trPr>
        <w:tc>
          <w:tcPr>
            <w:tcW w:w="2977" w:type="dxa"/>
            <w:tcBorders>
              <w:top w:val="nil"/>
              <w:left w:val="nil"/>
              <w:bottom w:val="nil"/>
              <w:right w:val="single" w:sz="4" w:space="0" w:color="auto"/>
            </w:tcBorders>
            <w:shd w:val="clear" w:color="auto" w:fill="auto"/>
            <w:noWrap/>
            <w:vAlign w:val="center"/>
            <w:hideMark/>
          </w:tcPr>
          <w:p w:rsidR="00C13010" w:rsidRPr="008C4A79" w:rsidRDefault="00C13010" w:rsidP="00EB057B">
            <w:pPr>
              <w:pStyle w:val="TCTableBody"/>
              <w:spacing w:after="0"/>
              <w:jc w:val="left"/>
              <w:rPr>
                <w:sz w:val="20"/>
              </w:rPr>
            </w:pPr>
            <w:proofErr w:type="spellStart"/>
            <w:r w:rsidRPr="008C4A79">
              <w:rPr>
                <w:i/>
                <w:sz w:val="20"/>
              </w:rPr>
              <w:t>i</w:t>
            </w:r>
            <w:r w:rsidRPr="008C4A79">
              <w:rPr>
                <w:sz w:val="20"/>
              </w:rPr>
              <w:t>RMSD</w:t>
            </w:r>
            <w:proofErr w:type="spellEnd"/>
            <w:r w:rsidRPr="008C4A79">
              <w:rPr>
                <w:sz w:val="20"/>
              </w:rPr>
              <w:t xml:space="preserve"> for the trial</w:t>
            </w:r>
          </w:p>
        </w:tc>
        <w:tc>
          <w:tcPr>
            <w:tcW w:w="3260" w:type="dxa"/>
            <w:tcBorders>
              <w:top w:val="nil"/>
              <w:left w:val="single" w:sz="4" w:space="0" w:color="auto"/>
              <w:bottom w:val="nil"/>
              <w:right w:val="single" w:sz="4" w:space="0" w:color="auto"/>
            </w:tcBorders>
            <w:shd w:val="clear" w:color="auto" w:fill="auto"/>
            <w:noWrap/>
            <w:vAlign w:val="center"/>
            <w:hideMark/>
          </w:tcPr>
          <w:p w:rsidR="00C13010" w:rsidRPr="008C4A79" w:rsidRDefault="00C13010" w:rsidP="00EB057B">
            <w:pPr>
              <w:pStyle w:val="TCTableBody"/>
              <w:spacing w:after="0"/>
              <w:jc w:val="center"/>
              <w:rPr>
                <w:sz w:val="20"/>
              </w:rPr>
            </w:pPr>
            <w:r w:rsidRPr="008C4A79">
              <w:rPr>
                <w:sz w:val="20"/>
              </w:rPr>
              <w:t>3.9</w:t>
            </w:r>
          </w:p>
        </w:tc>
        <w:tc>
          <w:tcPr>
            <w:tcW w:w="2977" w:type="dxa"/>
            <w:tcBorders>
              <w:top w:val="nil"/>
              <w:left w:val="single" w:sz="4" w:space="0" w:color="auto"/>
              <w:bottom w:val="nil"/>
              <w:right w:val="nil"/>
            </w:tcBorders>
            <w:shd w:val="clear" w:color="auto" w:fill="auto"/>
            <w:noWrap/>
            <w:vAlign w:val="center"/>
            <w:hideMark/>
          </w:tcPr>
          <w:p w:rsidR="00C13010" w:rsidRPr="008C4A79" w:rsidRDefault="00C13010" w:rsidP="00EB057B">
            <w:pPr>
              <w:pStyle w:val="TCTableBody"/>
              <w:spacing w:after="0"/>
              <w:jc w:val="center"/>
              <w:rPr>
                <w:sz w:val="20"/>
              </w:rPr>
            </w:pPr>
            <w:r w:rsidRPr="008C4A79">
              <w:rPr>
                <w:sz w:val="20"/>
              </w:rPr>
              <w:t>3.3</w:t>
            </w:r>
          </w:p>
        </w:tc>
      </w:tr>
    </w:tbl>
    <w:p w:rsidR="00C13010" w:rsidRDefault="00C13010" w:rsidP="00C13010"/>
    <w:p w:rsidR="00A541F6" w:rsidRPr="00A541F6" w:rsidRDefault="00A541F6" w:rsidP="00C57EB4">
      <w:pPr>
        <w:pStyle w:val="TAMainText"/>
        <w:ind w:firstLine="0"/>
        <w:rPr>
          <w:b/>
          <w:caps/>
          <w:lang w:val="en-GB"/>
        </w:rPr>
      </w:pPr>
    </w:p>
    <w:p w:rsidR="005051A6" w:rsidRPr="00C83B4F" w:rsidRDefault="005051A6" w:rsidP="003C2478">
      <w:pPr>
        <w:pStyle w:val="TAMainText"/>
        <w:ind w:firstLine="0"/>
      </w:pPr>
      <w:r w:rsidRPr="00C83B4F">
        <w:rPr>
          <w:i/>
        </w:rPr>
        <w:t>MD simulations</w:t>
      </w:r>
      <w:r w:rsidR="00805941" w:rsidRPr="00C83B4F">
        <w:rPr>
          <w:i/>
        </w:rPr>
        <w:t>’ results</w:t>
      </w:r>
      <w:r w:rsidRPr="00C83B4F">
        <w:rPr>
          <w:i/>
        </w:rPr>
        <w:t>.</w:t>
      </w:r>
      <w:r w:rsidRPr="00C83B4F">
        <w:t xml:space="preserve"> We saw that, on average, the number of high- and medium-quality poses was twice the number of incorrect ones for the </w:t>
      </w:r>
      <w:proofErr w:type="gramStart"/>
      <w:r w:rsidRPr="00C83B4F">
        <w:t>B:B</w:t>
      </w:r>
      <w:proofErr w:type="gramEnd"/>
      <w:r w:rsidRPr="00C83B4F">
        <w:t xml:space="preserve"> cases, whereas in B:U/U:U cases they were the same (see Table ESI-2). This fact stresses the importance of the searching stage in a docking protocol. The quality of the solutions provided by the searching stage influences the chances of identifying high-quality poses at the top of the ranking. This aspect was particularly important in the </w:t>
      </w:r>
      <w:proofErr w:type="gramStart"/>
      <w:r w:rsidRPr="00C83B4F">
        <w:t>B:U</w:t>
      </w:r>
      <w:proofErr w:type="gramEnd"/>
      <w:r w:rsidRPr="00C83B4F">
        <w:t xml:space="preserve">/U:U cases, because if only one </w:t>
      </w:r>
      <w:r w:rsidR="00C13010" w:rsidRPr="00C83B4F">
        <w:t>HQ</w:t>
      </w:r>
      <w:r w:rsidRPr="00C83B4F">
        <w:t xml:space="preserve"> pose existed and this was not at the top-one position, the percentage of </w:t>
      </w:r>
      <w:r w:rsidR="00C13010" w:rsidRPr="00C83B4F">
        <w:t>HQ</w:t>
      </w:r>
      <w:r w:rsidRPr="00C83B4F">
        <w:t xml:space="preserve"> poses at the top-</w:t>
      </w:r>
      <w:r w:rsidRPr="00C83B4F">
        <w:rPr>
          <w:i/>
        </w:rPr>
        <w:t>N</w:t>
      </w:r>
      <w:r w:rsidRPr="00C83B4F">
        <w:t xml:space="preserve"> positions would be zero in these situations. </w:t>
      </w:r>
    </w:p>
    <w:p w:rsidR="005051A6" w:rsidRPr="00C83B4F" w:rsidRDefault="003C2478" w:rsidP="005051A6">
      <w:pPr>
        <w:pStyle w:val="TAMainText"/>
        <w:spacing w:before="240" w:after="240"/>
        <w:ind w:firstLine="0"/>
      </w:pPr>
      <w:r w:rsidRPr="00C83B4F">
        <w:t xml:space="preserve">To account for the lack of high-quality poses in </w:t>
      </w:r>
      <w:proofErr w:type="gramStart"/>
      <w:r w:rsidRPr="00C83B4F">
        <w:t>U:U</w:t>
      </w:r>
      <w:proofErr w:type="gramEnd"/>
      <w:r w:rsidRPr="00C83B4F">
        <w:t xml:space="preserve"> complexes, for two P:P complexes of our dataset (1BRS and 1R0R), an alternative searching method was used. For these two cases, we have chosen the highest-quality pose provided by the HADDOCK searching stage (as measured by the </w:t>
      </w:r>
      <w:proofErr w:type="spellStart"/>
      <w:r w:rsidRPr="00C83B4F">
        <w:rPr>
          <w:i/>
        </w:rPr>
        <w:t>i</w:t>
      </w:r>
      <w:r w:rsidRPr="00C83B4F">
        <w:t>RMSD</w:t>
      </w:r>
      <w:proofErr w:type="spellEnd"/>
      <w:r w:rsidRPr="00C83B4F">
        <w:t xml:space="preserve"> and </w:t>
      </w:r>
      <w:proofErr w:type="spellStart"/>
      <w:r w:rsidRPr="00C83B4F">
        <w:rPr>
          <w:i/>
        </w:rPr>
        <w:t>f</w:t>
      </w:r>
      <w:r w:rsidRPr="00C83B4F">
        <w:rPr>
          <w:i/>
          <w:vertAlign w:val="subscript"/>
        </w:rPr>
        <w:t>nat</w:t>
      </w:r>
      <w:proofErr w:type="spellEnd"/>
      <w:r w:rsidRPr="00C83B4F">
        <w:t xml:space="preserve">), and for each of the two complexes, we ran a short MD simulation (1 ns). From the simulations’ trajectory, we have then extracted high-quality poses for later reprocessing. </w:t>
      </w:r>
      <w:r w:rsidR="005051A6" w:rsidRPr="00C83B4F">
        <w:t xml:space="preserve">These </w:t>
      </w:r>
      <w:r w:rsidR="005051A6" w:rsidRPr="00C83B4F">
        <w:lastRenderedPageBreak/>
        <w:t xml:space="preserve">included five and seven poses for the 1R0R and 1BRS complexes, respectively. </w:t>
      </w:r>
      <w:r w:rsidRPr="00C83B4F">
        <w:t xml:space="preserve">The full details of the MD simulation protocol are disclosed </w:t>
      </w:r>
      <w:r w:rsidR="00805941" w:rsidRPr="00C83B4F">
        <w:t>in section 1 of the ESI</w:t>
      </w:r>
      <w:r w:rsidRPr="00C83B4F">
        <w:t>.</w:t>
      </w:r>
    </w:p>
    <w:p w:rsidR="005051A6" w:rsidRPr="00C83B4F" w:rsidRDefault="005051A6" w:rsidP="005051A6">
      <w:pPr>
        <w:pStyle w:val="TAMainText"/>
        <w:spacing w:before="240" w:after="240"/>
        <w:ind w:firstLine="0"/>
      </w:pPr>
      <w:r w:rsidRPr="00C83B4F">
        <w:t>Without the MD-generated high-quality poses and considering the 1BRS complex, all properties were able to rank the native X-ray pose at the top-one position. However, for the 1R0R complex, the TP</w:t>
      </w:r>
      <w:r w:rsidRPr="00C83B4F">
        <w:rPr>
          <w:vertAlign w:val="superscript"/>
        </w:rPr>
        <w:t>HS</w:t>
      </w:r>
      <w:r w:rsidRPr="00C83B4F">
        <w:t xml:space="preserve"> and</w:t>
      </w:r>
      <w:r w:rsidRPr="00C83B4F">
        <w:rPr>
          <w:rFonts w:ascii="Calibri" w:hAnsi="Calibri"/>
          <w:i/>
          <w:lang w:val="en-GB"/>
        </w:rPr>
        <w:t xml:space="preserve"> </w:t>
      </w:r>
      <w:proofErr w:type="spellStart"/>
      <w:r w:rsidRPr="00C83B4F">
        <w:rPr>
          <w:rFonts w:ascii="Times New Roman" w:hAnsi="Times New Roman"/>
          <w:i/>
          <w:lang w:val="en-GB"/>
        </w:rPr>
        <w:t>ΔΔ</w:t>
      </w:r>
      <w:proofErr w:type="gramStart"/>
      <w:r w:rsidRPr="00C83B4F">
        <w:rPr>
          <w:i/>
          <w:lang w:val="en-GB"/>
        </w:rPr>
        <w:t>G</w:t>
      </w:r>
      <w:r w:rsidRPr="00C83B4F">
        <w:rPr>
          <w:vertAlign w:val="subscript"/>
          <w:lang w:val="en-GB"/>
        </w:rPr>
        <w:t>bind</w:t>
      </w:r>
      <w:r w:rsidRPr="00C83B4F">
        <w:rPr>
          <w:vertAlign w:val="superscript"/>
          <w:lang w:val="en-GB"/>
        </w:rPr>
        <w:t>sum,TP</w:t>
      </w:r>
      <w:proofErr w:type="spellEnd"/>
      <w:proofErr w:type="gramEnd"/>
      <w:r w:rsidRPr="00C83B4F">
        <w:t xml:space="preserve"> properties failed in doing so. Obviously, in the 1R0R case, the population of ASM results is scarce and so are the number of experimentally described HS residues. </w:t>
      </w:r>
    </w:p>
    <w:p w:rsidR="005051A6" w:rsidRPr="00C83B4F" w:rsidRDefault="005051A6" w:rsidP="005051A6">
      <w:pPr>
        <w:pStyle w:val="VDTableTitle"/>
        <w:spacing w:before="240" w:after="0"/>
      </w:pPr>
      <w:r w:rsidRPr="00C83B4F">
        <w:rPr>
          <w:b/>
        </w:rPr>
        <w:t>Table ESI-3.</w:t>
      </w:r>
      <w:r w:rsidRPr="00C83B4F">
        <w:t xml:space="preserve"> Scoring performance of the different properties: TP</w:t>
      </w:r>
      <w:r w:rsidRPr="00C83B4F">
        <w:rPr>
          <w:vertAlign w:val="superscript"/>
        </w:rPr>
        <w:t>HS</w:t>
      </w:r>
      <w:r w:rsidRPr="00C83B4F">
        <w:t xml:space="preserve">, </w:t>
      </w:r>
      <w:proofErr w:type="spellStart"/>
      <w:r w:rsidRPr="00C83B4F">
        <w:rPr>
          <w:i/>
        </w:rPr>
        <w:t>i</w:t>
      </w:r>
      <w:r w:rsidRPr="00C83B4F">
        <w:t>A</w:t>
      </w:r>
      <w:proofErr w:type="spellEnd"/>
      <w:r w:rsidRPr="00C83B4F">
        <w:t xml:space="preserve">, </w:t>
      </w:r>
      <w:proofErr w:type="spellStart"/>
      <w:r w:rsidRPr="00C83B4F">
        <w:rPr>
          <w:rFonts w:ascii="Times New Roman" w:hAnsi="Times New Roman"/>
          <w:i/>
          <w:lang w:val="en-GB"/>
        </w:rPr>
        <w:t>Δ</w:t>
      </w:r>
      <w:proofErr w:type="gramStart"/>
      <w:r w:rsidRPr="00C83B4F">
        <w:rPr>
          <w:i/>
          <w:lang w:val="en-GB"/>
        </w:rPr>
        <w:t>G</w:t>
      </w:r>
      <w:r w:rsidRPr="00C83B4F">
        <w:rPr>
          <w:vertAlign w:val="subscript"/>
          <w:lang w:val="en-GB"/>
        </w:rPr>
        <w:t>bind</w:t>
      </w:r>
      <w:r w:rsidRPr="00C83B4F">
        <w:rPr>
          <w:vertAlign w:val="superscript"/>
          <w:lang w:val="en-GB"/>
        </w:rPr>
        <w:t>P:P</w:t>
      </w:r>
      <w:proofErr w:type="spellEnd"/>
      <w:proofErr w:type="gramEnd"/>
      <w:r w:rsidRPr="00C83B4F">
        <w:t xml:space="preserve">, and </w:t>
      </w:r>
      <w:proofErr w:type="spellStart"/>
      <w:r w:rsidRPr="00C83B4F">
        <w:rPr>
          <w:rFonts w:ascii="Times New Roman" w:hAnsi="Times New Roman"/>
          <w:i/>
          <w:lang w:val="en-GB"/>
        </w:rPr>
        <w:t>ΔΔ</w:t>
      </w:r>
      <w:r w:rsidRPr="00C83B4F">
        <w:rPr>
          <w:i/>
          <w:lang w:val="en-GB"/>
        </w:rPr>
        <w:t>G</w:t>
      </w:r>
      <w:r w:rsidRPr="00C83B4F">
        <w:rPr>
          <w:vertAlign w:val="subscript"/>
          <w:lang w:val="en-GB"/>
        </w:rPr>
        <w:t>bind</w:t>
      </w:r>
      <w:r w:rsidRPr="00C83B4F">
        <w:rPr>
          <w:vertAlign w:val="superscript"/>
          <w:lang w:val="en-GB"/>
        </w:rPr>
        <w:t>sum,TP</w:t>
      </w:r>
      <w:proofErr w:type="spellEnd"/>
      <w:r w:rsidRPr="00C83B4F">
        <w:t xml:space="preserve">; and considering two U:U complexes (1BRS and 1R0R) to which the poses were generated by HADDOCK or by HADDOCK+MD. The ranking performance was assessed by the </w:t>
      </w:r>
      <w:proofErr w:type="spellStart"/>
      <w:r w:rsidRPr="00C83B4F">
        <w:rPr>
          <w:i/>
        </w:rPr>
        <w:t>i</w:t>
      </w:r>
      <w:r w:rsidRPr="00C83B4F">
        <w:t>RMSD</w:t>
      </w:r>
      <w:proofErr w:type="spellEnd"/>
      <w:r w:rsidRPr="00C83B4F">
        <w:t xml:space="preserve"> of the first ranked pose, and by the percentages of high-quality poses (%HQ), high- or medium-quality poses (%HQ/MQ), and incorrect poses (%</w:t>
      </w:r>
      <w:proofErr w:type="spellStart"/>
      <w:r w:rsidRPr="00C83B4F">
        <w:t>IP</w:t>
      </w:r>
      <w:r w:rsidRPr="00C83B4F">
        <w:rPr>
          <w:vertAlign w:val="subscript"/>
        </w:rPr>
        <w:t>top</w:t>
      </w:r>
      <w:proofErr w:type="spellEnd"/>
      <w:r w:rsidRPr="00C83B4F">
        <w:t>) at the top-</w:t>
      </w:r>
      <w:r w:rsidRPr="00C83B4F">
        <w:rPr>
          <w:i/>
        </w:rPr>
        <w:t>N</w:t>
      </w:r>
      <w:r w:rsidRPr="00C83B4F">
        <w:t xml:space="preserve"> predictions. </w:t>
      </w:r>
    </w:p>
    <w:tbl>
      <w:tblPr>
        <w:tblStyle w:val="TableGrid"/>
        <w:tblW w:w="5000" w:type="pct"/>
        <w:tblBorders>
          <w:top w:val="double" w:sz="4" w:space="0" w:color="auto"/>
          <w:left w:val="none" w:sz="0" w:space="0" w:color="auto"/>
          <w:bottom w:val="double" w:sz="4" w:space="0" w:color="auto"/>
          <w:right w:val="none" w:sz="0" w:space="0" w:color="auto"/>
          <w:insideH w:val="none" w:sz="0" w:space="0" w:color="auto"/>
          <w:insideV w:val="none" w:sz="0" w:space="0" w:color="auto"/>
        </w:tblBorders>
        <w:tblLook w:val="04A0" w:firstRow="1" w:lastRow="0" w:firstColumn="1" w:lastColumn="0" w:noHBand="0" w:noVBand="1"/>
      </w:tblPr>
      <w:tblGrid>
        <w:gridCol w:w="2740"/>
        <w:gridCol w:w="1314"/>
        <w:gridCol w:w="2164"/>
        <w:gridCol w:w="876"/>
        <w:gridCol w:w="1388"/>
        <w:gridCol w:w="851"/>
      </w:tblGrid>
      <w:tr w:rsidR="005051A6" w:rsidRPr="00C83B4F" w:rsidTr="002E64E5">
        <w:tc>
          <w:tcPr>
            <w:tcW w:w="1483" w:type="pct"/>
            <w:tcBorders>
              <w:top w:val="double" w:sz="4" w:space="0" w:color="auto"/>
              <w:bottom w:val="single" w:sz="4" w:space="0" w:color="auto"/>
            </w:tcBorders>
            <w:vAlign w:val="center"/>
          </w:tcPr>
          <w:p w:rsidR="005051A6" w:rsidRPr="00C83B4F" w:rsidRDefault="005051A6" w:rsidP="002E64E5">
            <w:pPr>
              <w:jc w:val="center"/>
              <w:rPr>
                <w:sz w:val="22"/>
                <w:szCs w:val="22"/>
              </w:rPr>
            </w:pPr>
            <w:r w:rsidRPr="00C83B4F">
              <w:rPr>
                <w:rFonts w:ascii="Times New Roman" w:hAnsi="Times New Roman"/>
                <w:b/>
                <w:sz w:val="22"/>
                <w:szCs w:val="22"/>
                <w:lang w:val="en-GB"/>
              </w:rPr>
              <w:t>type</w:t>
            </w:r>
          </w:p>
        </w:tc>
        <w:tc>
          <w:tcPr>
            <w:tcW w:w="694" w:type="pct"/>
            <w:tcBorders>
              <w:top w:val="double" w:sz="4" w:space="0" w:color="auto"/>
              <w:bottom w:val="single" w:sz="4" w:space="0" w:color="auto"/>
            </w:tcBorders>
            <w:vAlign w:val="center"/>
          </w:tcPr>
          <w:p w:rsidR="005051A6" w:rsidRPr="00C83B4F" w:rsidRDefault="005051A6" w:rsidP="002E64E5">
            <w:pPr>
              <w:jc w:val="center"/>
              <w:rPr>
                <w:sz w:val="22"/>
                <w:szCs w:val="22"/>
              </w:rPr>
            </w:pPr>
            <w:r w:rsidRPr="00C83B4F">
              <w:rPr>
                <w:rFonts w:ascii="Times New Roman" w:hAnsi="Times New Roman"/>
                <w:b/>
                <w:sz w:val="22"/>
                <w:szCs w:val="22"/>
                <w:lang w:val="en-GB"/>
              </w:rPr>
              <w:t>property</w:t>
            </w:r>
          </w:p>
        </w:tc>
        <w:tc>
          <w:tcPr>
            <w:tcW w:w="1174" w:type="pct"/>
            <w:tcBorders>
              <w:top w:val="double" w:sz="4" w:space="0" w:color="auto"/>
              <w:bottom w:val="single" w:sz="4" w:space="0" w:color="auto"/>
            </w:tcBorders>
            <w:vAlign w:val="center"/>
          </w:tcPr>
          <w:p w:rsidR="005051A6" w:rsidRPr="00C83B4F" w:rsidRDefault="005051A6" w:rsidP="002E64E5">
            <w:pPr>
              <w:jc w:val="center"/>
              <w:rPr>
                <w:sz w:val="22"/>
                <w:szCs w:val="22"/>
              </w:rPr>
            </w:pPr>
            <w:proofErr w:type="spellStart"/>
            <w:r w:rsidRPr="00C83B4F">
              <w:rPr>
                <w:rFonts w:ascii="Times New Roman" w:hAnsi="Times New Roman"/>
                <w:b/>
                <w:i/>
                <w:sz w:val="22"/>
                <w:szCs w:val="22"/>
                <w:lang w:val="en-GB"/>
              </w:rPr>
              <w:t>i</w:t>
            </w:r>
            <w:r w:rsidRPr="00C83B4F">
              <w:rPr>
                <w:rFonts w:ascii="Times New Roman" w:hAnsi="Times New Roman"/>
                <w:b/>
                <w:sz w:val="22"/>
                <w:szCs w:val="22"/>
                <w:lang w:val="en-GB"/>
              </w:rPr>
              <w:t>RMSD</w:t>
            </w:r>
            <w:proofErr w:type="spellEnd"/>
            <w:r w:rsidRPr="00C83B4F">
              <w:rPr>
                <w:rFonts w:ascii="Times New Roman" w:hAnsi="Times New Roman"/>
                <w:b/>
                <w:sz w:val="22"/>
                <w:szCs w:val="22"/>
                <w:lang w:val="en-GB"/>
              </w:rPr>
              <w:t xml:space="preserve"> 1</w:t>
            </w:r>
            <w:r w:rsidRPr="00C83B4F">
              <w:rPr>
                <w:rFonts w:ascii="Times New Roman" w:hAnsi="Times New Roman"/>
                <w:b/>
                <w:sz w:val="22"/>
                <w:szCs w:val="22"/>
                <w:vertAlign w:val="superscript"/>
                <w:lang w:val="en-GB"/>
              </w:rPr>
              <w:t>st</w:t>
            </w:r>
            <w:r w:rsidRPr="00C83B4F">
              <w:rPr>
                <w:rFonts w:ascii="Times New Roman" w:hAnsi="Times New Roman"/>
                <w:b/>
                <w:sz w:val="22"/>
                <w:szCs w:val="22"/>
                <w:lang w:val="en-GB"/>
              </w:rPr>
              <w:t xml:space="preserve"> str. / Å</w:t>
            </w:r>
          </w:p>
        </w:tc>
        <w:tc>
          <w:tcPr>
            <w:tcW w:w="484" w:type="pct"/>
            <w:tcBorders>
              <w:top w:val="double" w:sz="4" w:space="0" w:color="auto"/>
              <w:bottom w:val="single" w:sz="4" w:space="0" w:color="auto"/>
            </w:tcBorders>
            <w:vAlign w:val="center"/>
          </w:tcPr>
          <w:p w:rsidR="005051A6" w:rsidRPr="00C83B4F" w:rsidRDefault="005051A6" w:rsidP="002E64E5">
            <w:pPr>
              <w:jc w:val="center"/>
              <w:rPr>
                <w:sz w:val="22"/>
                <w:szCs w:val="22"/>
              </w:rPr>
            </w:pPr>
            <w:r w:rsidRPr="00C83B4F">
              <w:rPr>
                <w:rFonts w:ascii="Times New Roman" w:hAnsi="Times New Roman"/>
                <w:b/>
                <w:sz w:val="22"/>
                <w:szCs w:val="22"/>
                <w:lang w:val="en-GB"/>
              </w:rPr>
              <w:t>%HQ</w:t>
            </w:r>
          </w:p>
        </w:tc>
        <w:tc>
          <w:tcPr>
            <w:tcW w:w="758" w:type="pct"/>
            <w:tcBorders>
              <w:top w:val="double" w:sz="4" w:space="0" w:color="auto"/>
              <w:bottom w:val="single" w:sz="4" w:space="0" w:color="auto"/>
            </w:tcBorders>
            <w:vAlign w:val="center"/>
          </w:tcPr>
          <w:p w:rsidR="005051A6" w:rsidRPr="00C83B4F" w:rsidRDefault="005051A6" w:rsidP="002E64E5">
            <w:pPr>
              <w:jc w:val="center"/>
              <w:rPr>
                <w:sz w:val="22"/>
                <w:szCs w:val="22"/>
              </w:rPr>
            </w:pPr>
            <w:r w:rsidRPr="00C83B4F">
              <w:rPr>
                <w:rFonts w:ascii="Times New Roman" w:hAnsi="Times New Roman"/>
                <w:b/>
                <w:sz w:val="22"/>
                <w:szCs w:val="22"/>
                <w:lang w:val="en-GB"/>
              </w:rPr>
              <w:t>%HQ/MQ</w:t>
            </w:r>
          </w:p>
        </w:tc>
        <w:tc>
          <w:tcPr>
            <w:tcW w:w="408" w:type="pct"/>
            <w:tcBorders>
              <w:top w:val="double" w:sz="4" w:space="0" w:color="auto"/>
              <w:bottom w:val="single" w:sz="4" w:space="0" w:color="auto"/>
            </w:tcBorders>
            <w:vAlign w:val="center"/>
          </w:tcPr>
          <w:p w:rsidR="005051A6" w:rsidRPr="00C83B4F" w:rsidRDefault="005051A6" w:rsidP="002E64E5">
            <w:pPr>
              <w:jc w:val="center"/>
              <w:rPr>
                <w:sz w:val="22"/>
                <w:szCs w:val="22"/>
              </w:rPr>
            </w:pPr>
            <w:r w:rsidRPr="00C83B4F">
              <w:rPr>
                <w:rFonts w:ascii="Times New Roman" w:hAnsi="Times New Roman"/>
                <w:b/>
                <w:sz w:val="22"/>
                <w:szCs w:val="22"/>
                <w:lang w:val="en-GB"/>
              </w:rPr>
              <w:t>%</w:t>
            </w:r>
            <w:proofErr w:type="spellStart"/>
            <w:r w:rsidRPr="00C83B4F">
              <w:rPr>
                <w:rFonts w:ascii="Times New Roman" w:hAnsi="Times New Roman"/>
                <w:b/>
                <w:sz w:val="22"/>
                <w:szCs w:val="22"/>
                <w:lang w:val="en-GB"/>
              </w:rPr>
              <w:t>IP</w:t>
            </w:r>
            <w:r w:rsidRPr="00C83B4F">
              <w:rPr>
                <w:rFonts w:ascii="Times New Roman" w:hAnsi="Times New Roman"/>
                <w:b/>
                <w:sz w:val="22"/>
                <w:szCs w:val="22"/>
                <w:vertAlign w:val="subscript"/>
                <w:lang w:val="en-GB"/>
              </w:rPr>
              <w:t>top</w:t>
            </w:r>
            <w:proofErr w:type="spellEnd"/>
          </w:p>
        </w:tc>
      </w:tr>
      <w:tr w:rsidR="005051A6" w:rsidRPr="00C83B4F" w:rsidTr="002E64E5">
        <w:tc>
          <w:tcPr>
            <w:tcW w:w="1483" w:type="pct"/>
            <w:tcBorders>
              <w:top w:val="single" w:sz="4" w:space="0" w:color="auto"/>
              <w:bottom w:val="nil"/>
            </w:tcBorders>
            <w:vAlign w:val="center"/>
          </w:tcPr>
          <w:p w:rsidR="005051A6" w:rsidRPr="00C83B4F" w:rsidRDefault="005051A6" w:rsidP="002E64E5">
            <w:pPr>
              <w:jc w:val="center"/>
              <w:rPr>
                <w:b/>
                <w:sz w:val="22"/>
                <w:szCs w:val="22"/>
              </w:rPr>
            </w:pPr>
            <w:proofErr w:type="gramStart"/>
            <w:r w:rsidRPr="00C83B4F">
              <w:rPr>
                <w:b/>
                <w:sz w:val="22"/>
                <w:szCs w:val="22"/>
              </w:rPr>
              <w:t>U:U</w:t>
            </w:r>
            <w:proofErr w:type="gramEnd"/>
            <w:r w:rsidRPr="00C83B4F">
              <w:rPr>
                <w:b/>
                <w:sz w:val="22"/>
                <w:szCs w:val="22"/>
              </w:rPr>
              <w:t xml:space="preserve"> (HADDOCK)</w:t>
            </w:r>
          </w:p>
        </w:tc>
        <w:tc>
          <w:tcPr>
            <w:tcW w:w="694" w:type="pct"/>
            <w:tcBorders>
              <w:top w:val="single" w:sz="4" w:space="0" w:color="auto"/>
              <w:bottom w:val="nil"/>
            </w:tcBorders>
            <w:vAlign w:val="center"/>
          </w:tcPr>
          <w:p w:rsidR="005051A6" w:rsidRPr="00C83B4F" w:rsidRDefault="005051A6" w:rsidP="002E64E5">
            <w:pPr>
              <w:jc w:val="center"/>
              <w:rPr>
                <w:sz w:val="22"/>
                <w:szCs w:val="22"/>
              </w:rPr>
            </w:pPr>
            <w:r w:rsidRPr="00C83B4F">
              <w:rPr>
                <w:rFonts w:ascii="Times New Roman" w:hAnsi="Times New Roman"/>
                <w:sz w:val="22"/>
                <w:szCs w:val="22"/>
                <w:lang w:val="en-GB"/>
              </w:rPr>
              <w:t>TP</w:t>
            </w:r>
            <w:r w:rsidRPr="00C83B4F">
              <w:rPr>
                <w:rFonts w:ascii="Times New Roman" w:hAnsi="Times New Roman"/>
                <w:sz w:val="22"/>
                <w:szCs w:val="22"/>
                <w:vertAlign w:val="superscript"/>
                <w:lang w:val="en-GB"/>
              </w:rPr>
              <w:t>HS</w:t>
            </w:r>
          </w:p>
        </w:tc>
        <w:tc>
          <w:tcPr>
            <w:tcW w:w="1174" w:type="pct"/>
            <w:tcBorders>
              <w:top w:val="single" w:sz="4" w:space="0" w:color="auto"/>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0.6±0.6</w:t>
            </w:r>
          </w:p>
        </w:tc>
        <w:tc>
          <w:tcPr>
            <w:tcW w:w="484" w:type="pct"/>
            <w:tcBorders>
              <w:top w:val="single" w:sz="4" w:space="0" w:color="auto"/>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50±50</w:t>
            </w:r>
          </w:p>
        </w:tc>
        <w:tc>
          <w:tcPr>
            <w:tcW w:w="758" w:type="pct"/>
            <w:tcBorders>
              <w:top w:val="single" w:sz="4" w:space="0" w:color="auto"/>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408" w:type="pct"/>
            <w:tcBorders>
              <w:top w:val="single" w:sz="4" w:space="0" w:color="auto"/>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0±0</w:t>
            </w:r>
          </w:p>
        </w:tc>
      </w:tr>
      <w:tr w:rsidR="005051A6" w:rsidRPr="00C83B4F" w:rsidTr="002E64E5">
        <w:tc>
          <w:tcPr>
            <w:tcW w:w="1483" w:type="pct"/>
            <w:tcBorders>
              <w:top w:val="nil"/>
              <w:bottom w:val="nil"/>
            </w:tcBorders>
            <w:vAlign w:val="center"/>
          </w:tcPr>
          <w:p w:rsidR="005051A6" w:rsidRPr="00C83B4F" w:rsidRDefault="005051A6" w:rsidP="002E64E5">
            <w:pPr>
              <w:jc w:val="center"/>
              <w:rPr>
                <w:b/>
                <w:sz w:val="22"/>
                <w:szCs w:val="22"/>
              </w:rPr>
            </w:pPr>
          </w:p>
        </w:tc>
        <w:tc>
          <w:tcPr>
            <w:tcW w:w="694" w:type="pct"/>
            <w:tcBorders>
              <w:top w:val="nil"/>
              <w:bottom w:val="nil"/>
            </w:tcBorders>
            <w:vAlign w:val="center"/>
          </w:tcPr>
          <w:p w:rsidR="005051A6" w:rsidRPr="00C83B4F" w:rsidRDefault="005051A6" w:rsidP="002E64E5">
            <w:pPr>
              <w:jc w:val="center"/>
              <w:rPr>
                <w:sz w:val="22"/>
                <w:szCs w:val="22"/>
              </w:rPr>
            </w:pPr>
            <w:r w:rsidRPr="00C83B4F">
              <w:rPr>
                <w:rFonts w:ascii="Times New Roman" w:hAnsi="Times New Roman"/>
                <w:bCs/>
                <w:i/>
                <w:color w:val="000000"/>
                <w:sz w:val="22"/>
                <w:szCs w:val="22"/>
                <w:lang w:val="pt-PT" w:eastAsia="pt-PT"/>
              </w:rPr>
              <w:t>ΔΔG</w:t>
            </w:r>
            <w:r w:rsidRPr="00C83B4F">
              <w:rPr>
                <w:rFonts w:ascii="Times New Roman" w:hAnsi="Times New Roman"/>
                <w:bCs/>
                <w:color w:val="000000"/>
                <w:sz w:val="22"/>
                <w:szCs w:val="22"/>
                <w:vertAlign w:val="subscript"/>
                <w:lang w:val="pt-PT" w:eastAsia="pt-PT"/>
              </w:rPr>
              <w:t>bind</w:t>
            </w:r>
            <w:r w:rsidRPr="00C83B4F">
              <w:rPr>
                <w:rFonts w:ascii="Times New Roman" w:hAnsi="Times New Roman"/>
                <w:bCs/>
                <w:color w:val="000000"/>
                <w:sz w:val="22"/>
                <w:szCs w:val="22"/>
                <w:vertAlign w:val="superscript"/>
                <w:lang w:val="pt-PT" w:eastAsia="pt-PT"/>
              </w:rPr>
              <w:t>sum,TP</w:t>
            </w:r>
          </w:p>
        </w:tc>
        <w:tc>
          <w:tcPr>
            <w:tcW w:w="1174" w:type="pct"/>
            <w:tcBorders>
              <w:top w:val="nil"/>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0.0±0.0</w:t>
            </w:r>
          </w:p>
        </w:tc>
        <w:tc>
          <w:tcPr>
            <w:tcW w:w="484" w:type="pct"/>
            <w:tcBorders>
              <w:top w:val="nil"/>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758" w:type="pct"/>
            <w:tcBorders>
              <w:top w:val="nil"/>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408" w:type="pct"/>
            <w:tcBorders>
              <w:top w:val="nil"/>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0±0</w:t>
            </w:r>
          </w:p>
        </w:tc>
      </w:tr>
      <w:tr w:rsidR="005051A6" w:rsidRPr="00C83B4F" w:rsidTr="002E64E5">
        <w:tc>
          <w:tcPr>
            <w:tcW w:w="1483" w:type="pct"/>
            <w:tcBorders>
              <w:top w:val="nil"/>
              <w:bottom w:val="nil"/>
            </w:tcBorders>
            <w:vAlign w:val="center"/>
          </w:tcPr>
          <w:p w:rsidR="005051A6" w:rsidRPr="00C83B4F" w:rsidRDefault="005051A6" w:rsidP="002E64E5">
            <w:pPr>
              <w:jc w:val="center"/>
              <w:rPr>
                <w:b/>
                <w:sz w:val="22"/>
                <w:szCs w:val="22"/>
              </w:rPr>
            </w:pPr>
          </w:p>
        </w:tc>
        <w:tc>
          <w:tcPr>
            <w:tcW w:w="694" w:type="pct"/>
            <w:tcBorders>
              <w:top w:val="nil"/>
              <w:bottom w:val="nil"/>
            </w:tcBorders>
            <w:vAlign w:val="center"/>
          </w:tcPr>
          <w:p w:rsidR="005051A6" w:rsidRPr="00C83B4F" w:rsidRDefault="005051A6" w:rsidP="002E64E5">
            <w:pPr>
              <w:jc w:val="center"/>
              <w:rPr>
                <w:sz w:val="22"/>
                <w:szCs w:val="22"/>
              </w:rPr>
            </w:pPr>
            <w:r w:rsidRPr="00C83B4F">
              <w:rPr>
                <w:rFonts w:ascii="Times New Roman" w:hAnsi="Times New Roman"/>
                <w:bCs/>
                <w:i/>
                <w:color w:val="000000"/>
                <w:sz w:val="22"/>
                <w:szCs w:val="22"/>
                <w:lang w:val="pt-PT" w:eastAsia="pt-PT"/>
              </w:rPr>
              <w:t>ΔG</w:t>
            </w:r>
            <w:r w:rsidRPr="00C83B4F">
              <w:rPr>
                <w:rFonts w:ascii="Times New Roman" w:hAnsi="Times New Roman"/>
                <w:bCs/>
                <w:color w:val="000000"/>
                <w:sz w:val="22"/>
                <w:szCs w:val="22"/>
                <w:vertAlign w:val="subscript"/>
                <w:lang w:val="pt-PT" w:eastAsia="pt-PT"/>
              </w:rPr>
              <w:t>bind</w:t>
            </w:r>
            <w:r w:rsidRPr="00C83B4F">
              <w:rPr>
                <w:rFonts w:ascii="Times New Roman" w:hAnsi="Times New Roman"/>
                <w:bCs/>
                <w:color w:val="000000"/>
                <w:sz w:val="22"/>
                <w:szCs w:val="22"/>
                <w:vertAlign w:val="superscript"/>
                <w:lang w:val="pt-PT" w:eastAsia="pt-PT"/>
              </w:rPr>
              <w:t>P:P</w:t>
            </w:r>
          </w:p>
        </w:tc>
        <w:tc>
          <w:tcPr>
            <w:tcW w:w="1174" w:type="pct"/>
            <w:tcBorders>
              <w:top w:val="nil"/>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0.0±0.0</w:t>
            </w:r>
          </w:p>
        </w:tc>
        <w:tc>
          <w:tcPr>
            <w:tcW w:w="484" w:type="pct"/>
            <w:tcBorders>
              <w:top w:val="nil"/>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758" w:type="pct"/>
            <w:tcBorders>
              <w:top w:val="nil"/>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408" w:type="pct"/>
            <w:tcBorders>
              <w:top w:val="nil"/>
              <w:bottom w:val="nil"/>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0±0</w:t>
            </w:r>
          </w:p>
        </w:tc>
      </w:tr>
      <w:tr w:rsidR="005051A6" w:rsidRPr="00C83B4F" w:rsidTr="002E64E5">
        <w:tc>
          <w:tcPr>
            <w:tcW w:w="1483" w:type="pct"/>
            <w:tcBorders>
              <w:top w:val="nil"/>
              <w:bottom w:val="dotted" w:sz="4" w:space="0" w:color="auto"/>
            </w:tcBorders>
            <w:vAlign w:val="center"/>
          </w:tcPr>
          <w:p w:rsidR="005051A6" w:rsidRPr="00C83B4F" w:rsidRDefault="005051A6" w:rsidP="002E64E5">
            <w:pPr>
              <w:jc w:val="center"/>
              <w:rPr>
                <w:b/>
                <w:sz w:val="22"/>
                <w:szCs w:val="22"/>
              </w:rPr>
            </w:pPr>
          </w:p>
        </w:tc>
        <w:tc>
          <w:tcPr>
            <w:tcW w:w="694" w:type="pct"/>
            <w:tcBorders>
              <w:top w:val="nil"/>
              <w:bottom w:val="dotted" w:sz="4" w:space="0" w:color="auto"/>
            </w:tcBorders>
            <w:vAlign w:val="center"/>
          </w:tcPr>
          <w:p w:rsidR="005051A6" w:rsidRPr="00C83B4F" w:rsidRDefault="005051A6" w:rsidP="002E64E5">
            <w:pPr>
              <w:jc w:val="center"/>
              <w:rPr>
                <w:sz w:val="22"/>
                <w:szCs w:val="22"/>
              </w:rPr>
            </w:pPr>
            <w:r w:rsidRPr="00C83B4F">
              <w:rPr>
                <w:rFonts w:ascii="Times New Roman" w:hAnsi="Times New Roman"/>
                <w:i/>
                <w:sz w:val="22"/>
                <w:szCs w:val="22"/>
                <w:lang w:val="pt-PT"/>
              </w:rPr>
              <w:t>i</w:t>
            </w:r>
            <w:r w:rsidRPr="00C83B4F">
              <w:rPr>
                <w:rFonts w:ascii="Times New Roman" w:hAnsi="Times New Roman"/>
                <w:sz w:val="22"/>
                <w:szCs w:val="22"/>
                <w:lang w:val="pt-PT"/>
              </w:rPr>
              <w:t>A</w:t>
            </w:r>
          </w:p>
        </w:tc>
        <w:tc>
          <w:tcPr>
            <w:tcW w:w="1174" w:type="pct"/>
            <w:tcBorders>
              <w:top w:val="nil"/>
              <w:bottom w:val="dotted" w:sz="4" w:space="0" w:color="auto"/>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0.0±0.0</w:t>
            </w:r>
          </w:p>
        </w:tc>
        <w:tc>
          <w:tcPr>
            <w:tcW w:w="484" w:type="pct"/>
            <w:tcBorders>
              <w:top w:val="nil"/>
              <w:bottom w:val="dotted" w:sz="4" w:space="0" w:color="auto"/>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758" w:type="pct"/>
            <w:tcBorders>
              <w:top w:val="nil"/>
              <w:bottom w:val="dotted" w:sz="4" w:space="0" w:color="auto"/>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408" w:type="pct"/>
            <w:tcBorders>
              <w:top w:val="nil"/>
              <w:bottom w:val="dotted" w:sz="4" w:space="0" w:color="auto"/>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0±0</w:t>
            </w:r>
          </w:p>
        </w:tc>
      </w:tr>
      <w:tr w:rsidR="005051A6" w:rsidRPr="00C83B4F" w:rsidTr="002E64E5">
        <w:tc>
          <w:tcPr>
            <w:tcW w:w="1483" w:type="pct"/>
            <w:tcBorders>
              <w:top w:val="dotted" w:sz="4" w:space="0" w:color="auto"/>
            </w:tcBorders>
            <w:vAlign w:val="center"/>
          </w:tcPr>
          <w:p w:rsidR="005051A6" w:rsidRPr="00C83B4F" w:rsidRDefault="005051A6" w:rsidP="002E64E5">
            <w:pPr>
              <w:jc w:val="center"/>
              <w:rPr>
                <w:b/>
                <w:sz w:val="22"/>
                <w:szCs w:val="22"/>
              </w:rPr>
            </w:pPr>
            <w:proofErr w:type="gramStart"/>
            <w:r w:rsidRPr="00C83B4F">
              <w:rPr>
                <w:b/>
                <w:sz w:val="22"/>
                <w:szCs w:val="22"/>
              </w:rPr>
              <w:t>U:U</w:t>
            </w:r>
            <w:proofErr w:type="gramEnd"/>
            <w:r w:rsidRPr="00C83B4F">
              <w:rPr>
                <w:b/>
                <w:sz w:val="22"/>
                <w:szCs w:val="22"/>
              </w:rPr>
              <w:t xml:space="preserve"> (HADDOCK+MD)</w:t>
            </w:r>
          </w:p>
        </w:tc>
        <w:tc>
          <w:tcPr>
            <w:tcW w:w="694" w:type="pct"/>
            <w:tcBorders>
              <w:top w:val="dotted" w:sz="4" w:space="0" w:color="auto"/>
            </w:tcBorders>
            <w:vAlign w:val="center"/>
          </w:tcPr>
          <w:p w:rsidR="005051A6" w:rsidRPr="00C83B4F" w:rsidRDefault="005051A6" w:rsidP="002E64E5">
            <w:pPr>
              <w:jc w:val="center"/>
              <w:rPr>
                <w:sz w:val="22"/>
                <w:szCs w:val="22"/>
              </w:rPr>
            </w:pPr>
            <w:r w:rsidRPr="00C83B4F">
              <w:rPr>
                <w:rFonts w:ascii="Times New Roman" w:hAnsi="Times New Roman"/>
                <w:sz w:val="22"/>
                <w:szCs w:val="22"/>
                <w:lang w:val="en-GB"/>
              </w:rPr>
              <w:t>TP</w:t>
            </w:r>
            <w:r w:rsidRPr="00C83B4F">
              <w:rPr>
                <w:rFonts w:ascii="Times New Roman" w:hAnsi="Times New Roman"/>
                <w:sz w:val="22"/>
                <w:szCs w:val="22"/>
                <w:vertAlign w:val="superscript"/>
                <w:lang w:val="en-GB"/>
              </w:rPr>
              <w:t>HS</w:t>
            </w:r>
          </w:p>
        </w:tc>
        <w:tc>
          <w:tcPr>
            <w:tcW w:w="1174" w:type="pct"/>
            <w:tcBorders>
              <w:top w:val="dotted" w:sz="4" w:space="0" w:color="auto"/>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0.6±0.6</w:t>
            </w:r>
          </w:p>
        </w:tc>
        <w:tc>
          <w:tcPr>
            <w:tcW w:w="484" w:type="pct"/>
            <w:tcBorders>
              <w:top w:val="dotted" w:sz="4" w:space="0" w:color="auto"/>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67±33</w:t>
            </w:r>
          </w:p>
        </w:tc>
        <w:tc>
          <w:tcPr>
            <w:tcW w:w="758" w:type="pct"/>
            <w:tcBorders>
              <w:top w:val="dotted" w:sz="4" w:space="0" w:color="auto"/>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75±25</w:t>
            </w:r>
          </w:p>
        </w:tc>
        <w:tc>
          <w:tcPr>
            <w:tcW w:w="408" w:type="pct"/>
            <w:tcBorders>
              <w:top w:val="dotted" w:sz="4" w:space="0" w:color="auto"/>
            </w:tcBorders>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8±8</w:t>
            </w:r>
          </w:p>
        </w:tc>
      </w:tr>
      <w:tr w:rsidR="005051A6" w:rsidRPr="00C83B4F" w:rsidTr="002E64E5">
        <w:tc>
          <w:tcPr>
            <w:tcW w:w="1483" w:type="pct"/>
            <w:vAlign w:val="center"/>
          </w:tcPr>
          <w:p w:rsidR="005051A6" w:rsidRPr="00C83B4F" w:rsidRDefault="005051A6" w:rsidP="002E64E5">
            <w:pPr>
              <w:jc w:val="center"/>
              <w:rPr>
                <w:sz w:val="22"/>
                <w:szCs w:val="22"/>
              </w:rPr>
            </w:pPr>
          </w:p>
        </w:tc>
        <w:tc>
          <w:tcPr>
            <w:tcW w:w="694" w:type="pct"/>
            <w:vAlign w:val="center"/>
          </w:tcPr>
          <w:p w:rsidR="005051A6" w:rsidRPr="00C83B4F" w:rsidRDefault="005051A6" w:rsidP="002E64E5">
            <w:pPr>
              <w:jc w:val="center"/>
              <w:rPr>
                <w:sz w:val="22"/>
                <w:szCs w:val="22"/>
              </w:rPr>
            </w:pPr>
            <w:r w:rsidRPr="00C83B4F">
              <w:rPr>
                <w:rFonts w:ascii="Times New Roman" w:hAnsi="Times New Roman"/>
                <w:bCs/>
                <w:i/>
                <w:color w:val="000000"/>
                <w:sz w:val="22"/>
                <w:szCs w:val="22"/>
                <w:lang w:val="pt-PT" w:eastAsia="pt-PT"/>
              </w:rPr>
              <w:t>ΔΔG</w:t>
            </w:r>
            <w:r w:rsidRPr="00C83B4F">
              <w:rPr>
                <w:rFonts w:ascii="Times New Roman" w:hAnsi="Times New Roman"/>
                <w:bCs/>
                <w:color w:val="000000"/>
                <w:sz w:val="22"/>
                <w:szCs w:val="22"/>
                <w:vertAlign w:val="subscript"/>
                <w:lang w:val="pt-PT" w:eastAsia="pt-PT"/>
              </w:rPr>
              <w:t>bind</w:t>
            </w:r>
            <w:r w:rsidRPr="00C83B4F">
              <w:rPr>
                <w:rFonts w:ascii="Times New Roman" w:hAnsi="Times New Roman"/>
                <w:bCs/>
                <w:color w:val="000000"/>
                <w:sz w:val="22"/>
                <w:szCs w:val="22"/>
                <w:vertAlign w:val="superscript"/>
                <w:lang w:val="pt-PT" w:eastAsia="pt-PT"/>
              </w:rPr>
              <w:t>sum,TP</w:t>
            </w:r>
          </w:p>
        </w:tc>
        <w:tc>
          <w:tcPr>
            <w:tcW w:w="1174"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0.4±0.4</w:t>
            </w:r>
          </w:p>
        </w:tc>
        <w:tc>
          <w:tcPr>
            <w:tcW w:w="484"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92±8</w:t>
            </w:r>
          </w:p>
        </w:tc>
        <w:tc>
          <w:tcPr>
            <w:tcW w:w="758"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408"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0±0</w:t>
            </w:r>
          </w:p>
        </w:tc>
      </w:tr>
      <w:tr w:rsidR="005051A6" w:rsidRPr="00C83B4F" w:rsidTr="002E64E5">
        <w:tc>
          <w:tcPr>
            <w:tcW w:w="1483" w:type="pct"/>
            <w:vAlign w:val="center"/>
          </w:tcPr>
          <w:p w:rsidR="005051A6" w:rsidRPr="00C83B4F" w:rsidRDefault="005051A6" w:rsidP="002E64E5">
            <w:pPr>
              <w:jc w:val="center"/>
              <w:rPr>
                <w:sz w:val="22"/>
                <w:szCs w:val="22"/>
              </w:rPr>
            </w:pPr>
          </w:p>
        </w:tc>
        <w:tc>
          <w:tcPr>
            <w:tcW w:w="694" w:type="pct"/>
            <w:vAlign w:val="center"/>
          </w:tcPr>
          <w:p w:rsidR="005051A6" w:rsidRPr="00C83B4F" w:rsidRDefault="005051A6" w:rsidP="002E64E5">
            <w:pPr>
              <w:jc w:val="center"/>
              <w:rPr>
                <w:sz w:val="22"/>
                <w:szCs w:val="22"/>
              </w:rPr>
            </w:pPr>
            <w:r w:rsidRPr="00C83B4F">
              <w:rPr>
                <w:rFonts w:ascii="Times New Roman" w:hAnsi="Times New Roman"/>
                <w:bCs/>
                <w:i/>
                <w:color w:val="000000"/>
                <w:sz w:val="22"/>
                <w:szCs w:val="22"/>
                <w:lang w:val="pt-PT" w:eastAsia="pt-PT"/>
              </w:rPr>
              <w:t>ΔG</w:t>
            </w:r>
            <w:r w:rsidRPr="00C83B4F">
              <w:rPr>
                <w:rFonts w:ascii="Times New Roman" w:hAnsi="Times New Roman"/>
                <w:bCs/>
                <w:color w:val="000000"/>
                <w:sz w:val="22"/>
                <w:szCs w:val="22"/>
                <w:vertAlign w:val="subscript"/>
                <w:lang w:val="pt-PT" w:eastAsia="pt-PT"/>
              </w:rPr>
              <w:t>bind</w:t>
            </w:r>
            <w:r w:rsidRPr="00C83B4F">
              <w:rPr>
                <w:rFonts w:ascii="Times New Roman" w:hAnsi="Times New Roman"/>
                <w:bCs/>
                <w:color w:val="000000"/>
                <w:sz w:val="22"/>
                <w:szCs w:val="22"/>
                <w:vertAlign w:val="superscript"/>
                <w:lang w:val="pt-PT" w:eastAsia="pt-PT"/>
              </w:rPr>
              <w:t>P:P</w:t>
            </w:r>
          </w:p>
        </w:tc>
        <w:tc>
          <w:tcPr>
            <w:tcW w:w="1174"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0.4±0.4</w:t>
            </w:r>
          </w:p>
        </w:tc>
        <w:tc>
          <w:tcPr>
            <w:tcW w:w="484"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758"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408"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0±0</w:t>
            </w:r>
          </w:p>
        </w:tc>
      </w:tr>
      <w:tr w:rsidR="005051A6" w:rsidRPr="00C83B4F" w:rsidTr="002E64E5">
        <w:tc>
          <w:tcPr>
            <w:tcW w:w="1483" w:type="pct"/>
            <w:vAlign w:val="center"/>
          </w:tcPr>
          <w:p w:rsidR="005051A6" w:rsidRPr="00C83B4F" w:rsidRDefault="005051A6" w:rsidP="002E64E5">
            <w:pPr>
              <w:jc w:val="center"/>
              <w:rPr>
                <w:sz w:val="22"/>
                <w:szCs w:val="22"/>
              </w:rPr>
            </w:pPr>
          </w:p>
        </w:tc>
        <w:tc>
          <w:tcPr>
            <w:tcW w:w="694" w:type="pct"/>
            <w:vAlign w:val="center"/>
          </w:tcPr>
          <w:p w:rsidR="005051A6" w:rsidRPr="00C83B4F" w:rsidRDefault="005051A6" w:rsidP="002E64E5">
            <w:pPr>
              <w:jc w:val="center"/>
              <w:rPr>
                <w:sz w:val="22"/>
                <w:szCs w:val="22"/>
              </w:rPr>
            </w:pPr>
            <w:r w:rsidRPr="00C83B4F">
              <w:rPr>
                <w:rFonts w:ascii="Times New Roman" w:hAnsi="Times New Roman"/>
                <w:i/>
                <w:sz w:val="22"/>
                <w:szCs w:val="22"/>
                <w:lang w:val="pt-PT"/>
              </w:rPr>
              <w:t>i</w:t>
            </w:r>
            <w:r w:rsidRPr="00C83B4F">
              <w:rPr>
                <w:rFonts w:ascii="Times New Roman" w:hAnsi="Times New Roman"/>
                <w:sz w:val="22"/>
                <w:szCs w:val="22"/>
                <w:lang w:val="pt-PT"/>
              </w:rPr>
              <w:t>A</w:t>
            </w:r>
          </w:p>
        </w:tc>
        <w:tc>
          <w:tcPr>
            <w:tcW w:w="1174"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0.9±0.1</w:t>
            </w:r>
          </w:p>
        </w:tc>
        <w:tc>
          <w:tcPr>
            <w:tcW w:w="484"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758"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100±0</w:t>
            </w:r>
          </w:p>
        </w:tc>
        <w:tc>
          <w:tcPr>
            <w:tcW w:w="408" w:type="pct"/>
            <w:vAlign w:val="center"/>
          </w:tcPr>
          <w:p w:rsidR="005051A6" w:rsidRPr="00C83B4F" w:rsidRDefault="005051A6" w:rsidP="002E64E5">
            <w:pPr>
              <w:jc w:val="center"/>
              <w:rPr>
                <w:rFonts w:ascii="Times New Roman" w:hAnsi="Times New Roman"/>
                <w:sz w:val="22"/>
                <w:szCs w:val="22"/>
              </w:rPr>
            </w:pPr>
            <w:r w:rsidRPr="00C83B4F">
              <w:rPr>
                <w:rFonts w:ascii="Times New Roman" w:hAnsi="Times New Roman"/>
                <w:sz w:val="22"/>
                <w:szCs w:val="22"/>
              </w:rPr>
              <w:t>0±0</w:t>
            </w:r>
          </w:p>
        </w:tc>
      </w:tr>
    </w:tbl>
    <w:p w:rsidR="005051A6" w:rsidRPr="00C83B4F" w:rsidRDefault="005051A6" w:rsidP="005051A6"/>
    <w:p w:rsidR="005051A6" w:rsidRPr="00C83B4F" w:rsidRDefault="005051A6" w:rsidP="005051A6">
      <w:pPr>
        <w:pStyle w:val="TAMainText"/>
        <w:spacing w:before="240" w:after="240"/>
        <w:ind w:firstLine="0"/>
        <w:rPr>
          <w:lang w:val="en-GB"/>
        </w:rPr>
      </w:pPr>
      <w:r w:rsidRPr="00C83B4F">
        <w:t xml:space="preserve">Based on the analysis of the Table </w:t>
      </w:r>
      <w:r w:rsidR="00AA69AB" w:rsidRPr="00C83B4F">
        <w:t>ESI-</w:t>
      </w:r>
      <w:r w:rsidRPr="00C83B4F">
        <w:t xml:space="preserve">3, and looking at the percentage of </w:t>
      </w:r>
      <w:r w:rsidR="003C2478" w:rsidRPr="00C83B4F">
        <w:t>HQ</w:t>
      </w:r>
      <w:r w:rsidRPr="00C83B4F">
        <w:t xml:space="preserve"> poses at the top-</w:t>
      </w:r>
      <w:r w:rsidRPr="00C83B4F">
        <w:rPr>
          <w:i/>
        </w:rPr>
        <w:t>N</w:t>
      </w:r>
      <w:r w:rsidRPr="00C83B4F">
        <w:t xml:space="preserve"> positions (normalized for each situation), we saw an increment from 50% to 67% for the </w:t>
      </w:r>
      <w:proofErr w:type="gramStart"/>
      <w:r w:rsidRPr="00C83B4F">
        <w:t>U:U</w:t>
      </w:r>
      <w:proofErr w:type="gramEnd"/>
      <w:r w:rsidRPr="00C83B4F">
        <w:t xml:space="preserve"> </w:t>
      </w:r>
      <w:r w:rsidRPr="00C83B4F">
        <w:lastRenderedPageBreak/>
        <w:t xml:space="preserve">cases supplemented with MD-generated </w:t>
      </w:r>
      <w:r w:rsidR="003C2478" w:rsidRPr="00C83B4F">
        <w:t>HQ</w:t>
      </w:r>
      <w:r w:rsidRPr="00C83B4F">
        <w:t xml:space="preserve"> poses. This observation was only relevant for TP</w:t>
      </w:r>
      <w:r w:rsidRPr="00C83B4F">
        <w:rPr>
          <w:vertAlign w:val="superscript"/>
        </w:rPr>
        <w:t>HS</w:t>
      </w:r>
      <w:r w:rsidRPr="00C83B4F">
        <w:t>, because for the other two properties,</w:t>
      </w:r>
      <w:r w:rsidRPr="00C83B4F">
        <w:rPr>
          <w:lang w:val="en-GB"/>
        </w:rPr>
        <w:t xml:space="preserve"> </w:t>
      </w:r>
      <w:proofErr w:type="spellStart"/>
      <w:r w:rsidRPr="00C83B4F">
        <w:rPr>
          <w:i/>
          <w:lang w:val="en-GB"/>
        </w:rPr>
        <w:t>i</w:t>
      </w:r>
      <w:r w:rsidRPr="00C83B4F">
        <w:rPr>
          <w:lang w:val="en-GB"/>
        </w:rPr>
        <w:t>A</w:t>
      </w:r>
      <w:proofErr w:type="spellEnd"/>
      <w:r w:rsidRPr="00C83B4F">
        <w:rPr>
          <w:lang w:val="en-GB"/>
        </w:rPr>
        <w:t xml:space="preserve"> and </w:t>
      </w:r>
      <w:proofErr w:type="spellStart"/>
      <w:r w:rsidRPr="00C83B4F">
        <w:rPr>
          <w:rFonts w:ascii="Times New Roman" w:hAnsi="Times New Roman"/>
          <w:i/>
          <w:lang w:val="en-GB"/>
        </w:rPr>
        <w:t>Δ</w:t>
      </w:r>
      <w:proofErr w:type="gramStart"/>
      <w:r w:rsidRPr="00C83B4F">
        <w:rPr>
          <w:i/>
          <w:lang w:val="en-GB"/>
        </w:rPr>
        <w:t>G</w:t>
      </w:r>
      <w:r w:rsidRPr="00C83B4F">
        <w:rPr>
          <w:vertAlign w:val="subscript"/>
          <w:lang w:val="en-GB"/>
        </w:rPr>
        <w:t>bind</w:t>
      </w:r>
      <w:r w:rsidRPr="00C83B4F">
        <w:rPr>
          <w:vertAlign w:val="superscript"/>
          <w:lang w:val="en-GB"/>
        </w:rPr>
        <w:t>P:P</w:t>
      </w:r>
      <w:proofErr w:type="spellEnd"/>
      <w:proofErr w:type="gramEnd"/>
      <w:r w:rsidRPr="00C83B4F">
        <w:rPr>
          <w:lang w:val="en-GB"/>
        </w:rPr>
        <w:t xml:space="preserve">, the native X-ray pose was already ranked at the top for both complexes. Still, for the latter two properties, even by including more poses in the dataset, these newly introduced </w:t>
      </w:r>
      <w:r w:rsidR="003C2478" w:rsidRPr="00C83B4F">
        <w:rPr>
          <w:lang w:val="en-GB"/>
        </w:rPr>
        <w:t>HQ</w:t>
      </w:r>
      <w:r w:rsidRPr="00C83B4F">
        <w:rPr>
          <w:lang w:val="en-GB"/>
        </w:rPr>
        <w:t xml:space="preserve"> poses continue to be positioned at the top of the ranking. For </w:t>
      </w:r>
      <w:proofErr w:type="spellStart"/>
      <w:r w:rsidRPr="00C83B4F">
        <w:rPr>
          <w:rFonts w:ascii="Times New Roman" w:hAnsi="Times New Roman"/>
          <w:i/>
          <w:lang w:val="en-GB"/>
        </w:rPr>
        <w:t>ΔΔ</w:t>
      </w:r>
      <w:proofErr w:type="gramStart"/>
      <w:r w:rsidRPr="00C83B4F">
        <w:rPr>
          <w:i/>
          <w:lang w:val="en-GB"/>
        </w:rPr>
        <w:t>G</w:t>
      </w:r>
      <w:r w:rsidRPr="00C83B4F">
        <w:rPr>
          <w:vertAlign w:val="subscript"/>
          <w:lang w:val="en-GB"/>
        </w:rPr>
        <w:t>bind</w:t>
      </w:r>
      <w:r w:rsidRPr="00C83B4F">
        <w:rPr>
          <w:vertAlign w:val="superscript"/>
          <w:lang w:val="en-GB"/>
        </w:rPr>
        <w:t>sum,TP</w:t>
      </w:r>
      <w:proofErr w:type="spellEnd"/>
      <w:proofErr w:type="gramEnd"/>
      <w:r w:rsidRPr="00C83B4F">
        <w:t xml:space="preserve"> we observed only a slight decrease of the percentage of </w:t>
      </w:r>
      <w:r w:rsidR="003C2478" w:rsidRPr="00C83B4F">
        <w:t>HQ</w:t>
      </w:r>
      <w:r w:rsidRPr="00C83B4F">
        <w:t xml:space="preserve"> poses (from 100% to 92%).</w:t>
      </w:r>
      <w:r w:rsidRPr="00C83B4F">
        <w:rPr>
          <w:lang w:val="en-GB"/>
        </w:rPr>
        <w:t xml:space="preserve"> </w:t>
      </w:r>
    </w:p>
    <w:p w:rsidR="005051A6" w:rsidRPr="00C83B4F" w:rsidRDefault="005051A6" w:rsidP="005051A6">
      <w:pPr>
        <w:pStyle w:val="TAMainText"/>
        <w:spacing w:before="240" w:after="240"/>
        <w:ind w:firstLine="0"/>
        <w:rPr>
          <w:lang w:val="en-GB"/>
        </w:rPr>
      </w:pPr>
      <w:r w:rsidRPr="00C83B4F">
        <w:rPr>
          <w:lang w:val="en-GB"/>
        </w:rPr>
        <w:t xml:space="preserve">Obviously, by introducing </w:t>
      </w:r>
      <w:r w:rsidR="003C2478" w:rsidRPr="00C83B4F">
        <w:rPr>
          <w:lang w:val="en-GB"/>
        </w:rPr>
        <w:t>HQ</w:t>
      </w:r>
      <w:r w:rsidRPr="00C83B4F">
        <w:rPr>
          <w:lang w:val="en-GB"/>
        </w:rPr>
        <w:t xml:space="preserve"> poses in our dataset, we hampered the results considering the %HQ/MQ criteria. This happens because we increased our top-</w:t>
      </w:r>
      <w:r w:rsidRPr="00C83B4F">
        <w:rPr>
          <w:i/>
          <w:lang w:val="en-GB"/>
        </w:rPr>
        <w:t>N</w:t>
      </w:r>
      <w:r w:rsidRPr="00C83B4F">
        <w:rPr>
          <w:lang w:val="en-GB"/>
        </w:rPr>
        <w:t xml:space="preserve"> predictions (from one to six or eight), and so we increased the probability of finding lower quality poses at this increased top-</w:t>
      </w:r>
      <w:r w:rsidRPr="00C83B4F">
        <w:rPr>
          <w:i/>
          <w:lang w:val="en-GB"/>
        </w:rPr>
        <w:t>N</w:t>
      </w:r>
      <w:r w:rsidRPr="00C83B4F">
        <w:rPr>
          <w:lang w:val="en-GB"/>
        </w:rPr>
        <w:t xml:space="preserve">. We also saw that the </w:t>
      </w:r>
      <w:proofErr w:type="spellStart"/>
      <w:r w:rsidRPr="00C83B4F">
        <w:rPr>
          <w:i/>
          <w:lang w:val="en-GB"/>
        </w:rPr>
        <w:t>i</w:t>
      </w:r>
      <w:r w:rsidRPr="00C83B4F">
        <w:rPr>
          <w:lang w:val="en-GB"/>
        </w:rPr>
        <w:t>RMSD</w:t>
      </w:r>
      <w:proofErr w:type="spellEnd"/>
      <w:r w:rsidRPr="00C83B4F">
        <w:rPr>
          <w:lang w:val="en-GB"/>
        </w:rPr>
        <w:t xml:space="preserve"> of the first pose was higher for the cases where we provided MD-generated poses, because </w:t>
      </w:r>
      <w:r w:rsidR="003C2478" w:rsidRPr="00C83B4F">
        <w:rPr>
          <w:lang w:val="en-GB"/>
        </w:rPr>
        <w:t>HQ</w:t>
      </w:r>
      <w:r w:rsidRPr="00C83B4F">
        <w:rPr>
          <w:lang w:val="en-GB"/>
        </w:rPr>
        <w:t xml:space="preserve"> poses were ranked first than the native X-ray pose. </w:t>
      </w:r>
    </w:p>
    <w:p w:rsidR="005051A6" w:rsidRPr="00C83B4F" w:rsidRDefault="005051A6" w:rsidP="005051A6">
      <w:pPr>
        <w:pStyle w:val="TAMainText"/>
        <w:spacing w:before="240" w:after="240"/>
        <w:ind w:firstLine="0"/>
        <w:rPr>
          <w:lang w:val="en-GB"/>
        </w:rPr>
      </w:pPr>
      <w:r w:rsidRPr="00C83B4F">
        <w:rPr>
          <w:lang w:val="en-GB"/>
        </w:rPr>
        <w:t xml:space="preserve">Notwithstanding, with only short MD simulations of a </w:t>
      </w:r>
      <w:proofErr w:type="gramStart"/>
      <w:r w:rsidRPr="00C83B4F">
        <w:rPr>
          <w:lang w:val="en-GB"/>
        </w:rPr>
        <w:t>P:P</w:t>
      </w:r>
      <w:proofErr w:type="gramEnd"/>
      <w:r w:rsidRPr="00C83B4F">
        <w:rPr>
          <w:lang w:val="en-GB"/>
        </w:rPr>
        <w:t xml:space="preserve"> docking pose, we were able to relax the structure of two P:P complexes and generate </w:t>
      </w:r>
      <w:r w:rsidR="003C2478" w:rsidRPr="00C83B4F">
        <w:rPr>
          <w:lang w:val="en-GB"/>
        </w:rPr>
        <w:t>HQ</w:t>
      </w:r>
      <w:r w:rsidRPr="00C83B4F">
        <w:rPr>
          <w:lang w:val="en-GB"/>
        </w:rPr>
        <w:t xml:space="preserve"> poses. We showed for these two </w:t>
      </w:r>
      <w:proofErr w:type="gramStart"/>
      <w:r w:rsidRPr="00C83B4F">
        <w:rPr>
          <w:lang w:val="en-GB"/>
        </w:rPr>
        <w:t>P:P</w:t>
      </w:r>
      <w:proofErr w:type="gramEnd"/>
      <w:r w:rsidRPr="00C83B4F">
        <w:rPr>
          <w:lang w:val="en-GB"/>
        </w:rPr>
        <w:t xml:space="preserve"> complexes that by introducing more </w:t>
      </w:r>
      <w:r w:rsidR="003C2478" w:rsidRPr="00C83B4F">
        <w:rPr>
          <w:lang w:val="en-GB"/>
        </w:rPr>
        <w:t>HQ</w:t>
      </w:r>
      <w:r w:rsidRPr="00C83B4F">
        <w:rPr>
          <w:lang w:val="en-GB"/>
        </w:rPr>
        <w:t xml:space="preserve"> poses in the dataset of poses, these were still ranked first than incorrect poses for most of the properties analysed. The exception were the properties dependent on </w:t>
      </w:r>
      <w:proofErr w:type="spellStart"/>
      <w:r w:rsidRPr="00C83B4F">
        <w:rPr>
          <w:i/>
          <w:lang w:val="en-GB"/>
        </w:rPr>
        <w:t>c</w:t>
      </w:r>
      <w:r w:rsidRPr="00C83B4F">
        <w:rPr>
          <w:lang w:val="en-GB"/>
        </w:rPr>
        <w:t>ASM</w:t>
      </w:r>
      <w:proofErr w:type="spellEnd"/>
      <w:r w:rsidRPr="00C83B4F">
        <w:rPr>
          <w:lang w:val="en-GB"/>
        </w:rPr>
        <w:t xml:space="preserve"> results, which was </w:t>
      </w:r>
      <w:r w:rsidR="00AA69AB" w:rsidRPr="00C83B4F">
        <w:rPr>
          <w:lang w:val="en-GB"/>
        </w:rPr>
        <w:t xml:space="preserve">probably </w:t>
      </w:r>
      <w:r w:rsidRPr="00C83B4F">
        <w:rPr>
          <w:lang w:val="en-GB"/>
        </w:rPr>
        <w:t>related to the reduced sensitivity owned to the lower number of experimentally described HS residues for one of the complexes (specifically for 1R0R).</w:t>
      </w:r>
    </w:p>
    <w:p w:rsidR="00805941" w:rsidRPr="00C83B4F" w:rsidRDefault="00805941" w:rsidP="005051A6">
      <w:pPr>
        <w:pStyle w:val="TAMainText"/>
        <w:spacing w:before="240" w:after="240"/>
        <w:ind w:firstLine="0"/>
        <w:rPr>
          <w:lang w:val="en-GB"/>
        </w:rPr>
      </w:pPr>
    </w:p>
    <w:p w:rsidR="00805941" w:rsidRDefault="00805941" w:rsidP="005051A6">
      <w:pPr>
        <w:pStyle w:val="TAMainText"/>
        <w:spacing w:before="240" w:after="240"/>
        <w:ind w:firstLine="0"/>
        <w:rPr>
          <w:highlight w:val="cyan"/>
          <w:lang w:val="en-GB"/>
        </w:rPr>
      </w:pPr>
    </w:p>
    <w:p w:rsidR="00805941" w:rsidRDefault="00805941" w:rsidP="005051A6">
      <w:pPr>
        <w:pStyle w:val="TAMainText"/>
        <w:spacing w:before="240" w:after="240"/>
        <w:ind w:firstLine="0"/>
        <w:rPr>
          <w:highlight w:val="cyan"/>
          <w:lang w:val="en-GB"/>
        </w:rPr>
      </w:pPr>
    </w:p>
    <w:p w:rsidR="00805941" w:rsidRPr="00AA69AB" w:rsidRDefault="00805941" w:rsidP="005051A6">
      <w:pPr>
        <w:pStyle w:val="TAMainText"/>
        <w:spacing w:before="240" w:after="240"/>
        <w:ind w:firstLine="0"/>
        <w:rPr>
          <w:highlight w:val="cyan"/>
          <w:lang w:val="en-GB"/>
        </w:rPr>
      </w:pPr>
      <w:r>
        <w:rPr>
          <w:i/>
        </w:rPr>
        <w:lastRenderedPageBreak/>
        <w:t>Section 2. 3. Supporting information for the r</w:t>
      </w:r>
      <w:r w:rsidRPr="001677AE">
        <w:rPr>
          <w:i/>
        </w:rPr>
        <w:t>anking performance in a wider pose sample space</w:t>
      </w:r>
      <w:r>
        <w:rPr>
          <w:i/>
        </w:rPr>
        <w:t>.</w:t>
      </w:r>
    </w:p>
    <w:p w:rsidR="00AA69AB" w:rsidRDefault="00D83D20" w:rsidP="00D83D20">
      <w:pPr>
        <w:pStyle w:val="TAMainText"/>
        <w:spacing w:before="240" w:after="240"/>
        <w:ind w:firstLine="0"/>
        <w:jc w:val="center"/>
        <w:rPr>
          <w:szCs w:val="24"/>
          <w:highlight w:val="cyan"/>
          <w:lang w:val="en-GB"/>
        </w:rPr>
      </w:pPr>
      <w:r>
        <w:rPr>
          <w:noProof/>
          <w:szCs w:val="24"/>
          <w:lang w:val="en-GB"/>
        </w:rPr>
        <w:drawing>
          <wp:inline distT="0" distB="0" distL="0" distR="0">
            <wp:extent cx="4829155" cy="5924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OBLEMS.png"/>
                    <pic:cNvPicPr/>
                  </pic:nvPicPr>
                  <pic:blipFill>
                    <a:blip r:embed="rId8"/>
                    <a:stretch>
                      <a:fillRect/>
                    </a:stretch>
                  </pic:blipFill>
                  <pic:spPr>
                    <a:xfrm>
                      <a:off x="0" y="0"/>
                      <a:ext cx="4831187" cy="5927043"/>
                    </a:xfrm>
                    <a:prstGeom prst="rect">
                      <a:avLst/>
                    </a:prstGeom>
                  </pic:spPr>
                </pic:pic>
              </a:graphicData>
            </a:graphic>
          </wp:inline>
        </w:drawing>
      </w:r>
    </w:p>
    <w:p w:rsidR="00AA69AB" w:rsidRPr="008C4A79" w:rsidRDefault="00AA69AB" w:rsidP="00AA69AB">
      <w:pPr>
        <w:pStyle w:val="TAMainText"/>
        <w:ind w:firstLine="0"/>
      </w:pPr>
      <w:r w:rsidRPr="00C83B4F">
        <w:rPr>
          <w:b/>
          <w:lang w:val="en-GB"/>
        </w:rPr>
        <w:t>Figure ESI-1.</w:t>
      </w:r>
      <w:r w:rsidRPr="00C83B4F">
        <w:rPr>
          <w:lang w:val="en-GB"/>
        </w:rPr>
        <w:t xml:space="preserve"> First ranked pose </w:t>
      </w:r>
      <w:r w:rsidR="00D83D20" w:rsidRPr="00C83B4F">
        <w:rPr>
          <w:lang w:val="en-GB"/>
        </w:rPr>
        <w:t>of</w:t>
      </w:r>
      <w:r w:rsidRPr="00C83B4F">
        <w:rPr>
          <w:lang w:val="en-GB"/>
        </w:rPr>
        <w:t xml:space="preserve"> four </w:t>
      </w:r>
      <w:r w:rsidR="00D83D20" w:rsidRPr="00C83B4F">
        <w:rPr>
          <w:lang w:val="en-GB"/>
        </w:rPr>
        <w:t xml:space="preserve">out of the 39 </w:t>
      </w:r>
      <w:proofErr w:type="gramStart"/>
      <w:r w:rsidRPr="00C83B4F">
        <w:rPr>
          <w:lang w:val="en-GB"/>
        </w:rPr>
        <w:t>P:P</w:t>
      </w:r>
      <w:proofErr w:type="gramEnd"/>
      <w:r w:rsidRPr="00C83B4F">
        <w:rPr>
          <w:lang w:val="en-GB"/>
        </w:rPr>
        <w:t xml:space="preserve"> complexes </w:t>
      </w:r>
      <w:r w:rsidR="00D83D20" w:rsidRPr="00C83B4F">
        <w:rPr>
          <w:lang w:val="en-GB"/>
        </w:rPr>
        <w:t>explored in the “</w:t>
      </w:r>
      <w:r w:rsidR="00D83D20" w:rsidRPr="00C83B4F">
        <w:rPr>
          <w:i/>
          <w:lang w:val="en-GB"/>
        </w:rPr>
        <w:t>Ranking performance in a wider pose sample space</w:t>
      </w:r>
      <w:r w:rsidR="00D83D20" w:rsidRPr="00C83B4F">
        <w:rPr>
          <w:lang w:val="en-GB"/>
        </w:rPr>
        <w:t>” section</w:t>
      </w:r>
      <w:r w:rsidRPr="00C83B4F">
        <w:rPr>
          <w:lang w:val="en-GB"/>
        </w:rPr>
        <w:t>.</w:t>
      </w:r>
      <w:r w:rsidR="00D83D20" w:rsidRPr="00C83B4F">
        <w:rPr>
          <w:lang w:val="en-GB"/>
        </w:rPr>
        <w:t xml:space="preserve"> In green cartoon we show the monomer that was used for the alignment of the </w:t>
      </w:r>
      <w:proofErr w:type="gramStart"/>
      <w:r w:rsidR="00D83D20" w:rsidRPr="00C83B4F">
        <w:rPr>
          <w:lang w:val="en-GB"/>
        </w:rPr>
        <w:t>P:P</w:t>
      </w:r>
      <w:proofErr w:type="gramEnd"/>
      <w:r w:rsidR="00D83D20" w:rsidRPr="00C83B4F">
        <w:rPr>
          <w:lang w:val="en-GB"/>
        </w:rPr>
        <w:t xml:space="preserve"> complexes, and in yellow and red we show the X-ray and first-ranked pose </w:t>
      </w:r>
      <w:r w:rsidR="009F4F39" w:rsidRPr="00C83B4F">
        <w:rPr>
          <w:lang w:val="en-GB"/>
        </w:rPr>
        <w:t>of</w:t>
      </w:r>
      <w:r w:rsidR="00D83D20" w:rsidRPr="00C83B4F">
        <w:rPr>
          <w:lang w:val="en-GB"/>
        </w:rPr>
        <w:t xml:space="preserve"> the 200</w:t>
      </w:r>
      <w:r w:rsidR="009F4F39" w:rsidRPr="00C83B4F">
        <w:rPr>
          <w:lang w:val="en-GB"/>
        </w:rPr>
        <w:t xml:space="preserve"> or </w:t>
      </w:r>
      <w:r w:rsidR="00D83D20" w:rsidRPr="00C83B4F">
        <w:rPr>
          <w:lang w:val="en-GB"/>
        </w:rPr>
        <w:t>400 pose space, respectively.</w:t>
      </w:r>
      <w:r>
        <w:rPr>
          <w:lang w:val="en-GB"/>
        </w:rPr>
        <w:t xml:space="preserve"> </w:t>
      </w:r>
    </w:p>
    <w:p w:rsidR="00606261" w:rsidRDefault="00DF29F0" w:rsidP="002A0A2D">
      <w:r>
        <w:rPr>
          <w:noProof/>
        </w:rPr>
        <w:lastRenderedPageBreak/>
        <w:drawing>
          <wp:inline distT="0" distB="0" distL="0" distR="0">
            <wp:extent cx="5499100" cy="5294101"/>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SI.png"/>
                    <pic:cNvPicPr/>
                  </pic:nvPicPr>
                  <pic:blipFill>
                    <a:blip r:embed="rId9"/>
                    <a:stretch>
                      <a:fillRect/>
                    </a:stretch>
                  </pic:blipFill>
                  <pic:spPr>
                    <a:xfrm>
                      <a:off x="0" y="0"/>
                      <a:ext cx="5501371" cy="5296287"/>
                    </a:xfrm>
                    <a:prstGeom prst="rect">
                      <a:avLst/>
                    </a:prstGeom>
                  </pic:spPr>
                </pic:pic>
              </a:graphicData>
            </a:graphic>
          </wp:inline>
        </w:drawing>
      </w:r>
    </w:p>
    <w:p w:rsidR="00332FE9" w:rsidRPr="008C4A79" w:rsidRDefault="00332FE9" w:rsidP="00332FE9">
      <w:pPr>
        <w:pStyle w:val="TAMainText"/>
        <w:ind w:firstLine="0"/>
      </w:pPr>
      <w:bookmarkStart w:id="1" w:name="_GoBack"/>
      <w:bookmarkEnd w:id="1"/>
      <w:r w:rsidRPr="00C83B4F">
        <w:rPr>
          <w:b/>
          <w:lang w:val="en-GB"/>
        </w:rPr>
        <w:t>Figure ESI-</w:t>
      </w:r>
      <w:r w:rsidR="00AA69AB" w:rsidRPr="00C83B4F">
        <w:rPr>
          <w:b/>
          <w:lang w:val="en-GB"/>
        </w:rPr>
        <w:t>2</w:t>
      </w:r>
      <w:r w:rsidRPr="00C83B4F">
        <w:rPr>
          <w:b/>
          <w:lang w:val="en-GB"/>
        </w:rPr>
        <w:t>.</w:t>
      </w:r>
      <w:r w:rsidRPr="00C83B4F">
        <w:rPr>
          <w:lang w:val="en-GB"/>
        </w:rPr>
        <w:t xml:space="preserve"> </w:t>
      </w:r>
      <w:r w:rsidR="00DF29F0" w:rsidRPr="00C83B4F">
        <w:rPr>
          <w:lang w:val="en-GB"/>
        </w:rPr>
        <w:t xml:space="preserve">Average </w:t>
      </w:r>
      <w:r w:rsidRPr="00C83B4F">
        <w:rPr>
          <w:lang w:val="en-GB"/>
        </w:rPr>
        <w:t xml:space="preserve">ROC statistics </w:t>
      </w:r>
      <w:r w:rsidR="00DF29F0" w:rsidRPr="00C83B4F">
        <w:rPr>
          <w:lang w:val="en-GB"/>
        </w:rPr>
        <w:t>(</w:t>
      </w:r>
      <w:r w:rsidR="00DF29F0" w:rsidRPr="00C83B4F">
        <w:rPr>
          <w:b/>
          <w:lang w:val="en-GB"/>
        </w:rPr>
        <w:t>a.</w:t>
      </w:r>
      <w:r w:rsidR="00DF29F0" w:rsidRPr="00C83B4F">
        <w:rPr>
          <w:lang w:val="en-GB"/>
        </w:rPr>
        <w:t xml:space="preserve"> and </w:t>
      </w:r>
      <w:r w:rsidR="00DF29F0" w:rsidRPr="00C83B4F">
        <w:rPr>
          <w:b/>
          <w:lang w:val="en-GB"/>
        </w:rPr>
        <w:t>b.</w:t>
      </w:r>
      <w:r w:rsidR="00DF29F0" w:rsidRPr="00C83B4F">
        <w:rPr>
          <w:lang w:val="en-GB"/>
        </w:rPr>
        <w:t>) and success rates (</w:t>
      </w:r>
      <w:r w:rsidR="00DF29F0" w:rsidRPr="00C83B4F">
        <w:rPr>
          <w:b/>
          <w:lang w:val="en-GB"/>
        </w:rPr>
        <w:t>c.</w:t>
      </w:r>
      <w:r w:rsidR="00DF29F0" w:rsidRPr="00C83B4F">
        <w:rPr>
          <w:lang w:val="en-GB"/>
        </w:rPr>
        <w:t xml:space="preserve"> and </w:t>
      </w:r>
      <w:r w:rsidR="00DF29F0" w:rsidRPr="00C83B4F">
        <w:rPr>
          <w:b/>
          <w:lang w:val="en-GB"/>
        </w:rPr>
        <w:t>d.</w:t>
      </w:r>
      <w:r w:rsidR="00DF29F0" w:rsidRPr="00C83B4F">
        <w:rPr>
          <w:lang w:val="en-GB"/>
        </w:rPr>
        <w:t xml:space="preserve">) </w:t>
      </w:r>
      <w:r w:rsidRPr="00C83B4F">
        <w:rPr>
          <w:lang w:val="en-GB"/>
        </w:rPr>
        <w:t xml:space="preserve">for the ranking by the </w:t>
      </w:r>
      <w:proofErr w:type="spellStart"/>
      <w:r w:rsidRPr="00C83B4F">
        <w:rPr>
          <w:rFonts w:ascii="Times New Roman" w:hAnsi="Times New Roman"/>
          <w:i/>
          <w:lang w:val="en-GB"/>
        </w:rPr>
        <w:t>Δ</w:t>
      </w:r>
      <w:proofErr w:type="gramStart"/>
      <w:r w:rsidRPr="00C83B4F">
        <w:rPr>
          <w:i/>
          <w:lang w:val="en-GB"/>
        </w:rPr>
        <w:t>G</w:t>
      </w:r>
      <w:r w:rsidRPr="00C83B4F">
        <w:rPr>
          <w:vertAlign w:val="subscript"/>
          <w:lang w:val="en-GB"/>
        </w:rPr>
        <w:t>bind</w:t>
      </w:r>
      <w:r w:rsidRPr="00C83B4F">
        <w:rPr>
          <w:vertAlign w:val="superscript"/>
          <w:lang w:val="en-GB"/>
        </w:rPr>
        <w:t>P:P</w:t>
      </w:r>
      <w:proofErr w:type="spellEnd"/>
      <w:proofErr w:type="gramEnd"/>
      <w:r w:rsidRPr="00C83B4F">
        <w:t xml:space="preserve">, </w:t>
      </w:r>
      <w:proofErr w:type="spellStart"/>
      <w:r w:rsidRPr="00C83B4F">
        <w:rPr>
          <w:i/>
        </w:rPr>
        <w:t>ΔΔG</w:t>
      </w:r>
      <w:r w:rsidRPr="00C83B4F">
        <w:rPr>
          <w:vertAlign w:val="subscript"/>
        </w:rPr>
        <w:t>bind</w:t>
      </w:r>
      <w:r w:rsidRPr="00C83B4F">
        <w:rPr>
          <w:vertAlign w:val="superscript"/>
        </w:rPr>
        <w:t>sum,</w:t>
      </w:r>
      <w:r w:rsidRPr="00C83B4F">
        <w:rPr>
          <w:i/>
          <w:vertAlign w:val="superscript"/>
        </w:rPr>
        <w:t>c</w:t>
      </w:r>
      <w:r w:rsidRPr="00C83B4F">
        <w:rPr>
          <w:vertAlign w:val="superscript"/>
        </w:rPr>
        <w:t>HS</w:t>
      </w:r>
      <w:proofErr w:type="spellEnd"/>
      <w:r w:rsidRPr="00C83B4F">
        <w:t xml:space="preserve"> and </w:t>
      </w:r>
      <w:proofErr w:type="spellStart"/>
      <w:r w:rsidRPr="00C83B4F">
        <w:rPr>
          <w:i/>
        </w:rPr>
        <w:t>i</w:t>
      </w:r>
      <w:r w:rsidRPr="00C83B4F">
        <w:t>A</w:t>
      </w:r>
      <w:proofErr w:type="spellEnd"/>
      <w:r w:rsidRPr="00C83B4F">
        <w:rPr>
          <w:lang w:val="en-GB"/>
        </w:rPr>
        <w:t xml:space="preserve"> properties, </w:t>
      </w:r>
      <w:r w:rsidR="00DF29F0" w:rsidRPr="00C83B4F">
        <w:rPr>
          <w:lang w:val="en-GB"/>
        </w:rPr>
        <w:t xml:space="preserve">considering </w:t>
      </w:r>
      <w:r w:rsidR="009F7EFD" w:rsidRPr="00C83B4F">
        <w:rPr>
          <w:lang w:val="en-GB"/>
        </w:rPr>
        <w:t xml:space="preserve">39 </w:t>
      </w:r>
      <w:r w:rsidRPr="00C83B4F">
        <w:rPr>
          <w:lang w:val="en-GB"/>
        </w:rPr>
        <w:t xml:space="preserve">P:P complexes. </w:t>
      </w:r>
      <w:r w:rsidR="009F7EFD" w:rsidRPr="00C83B4F">
        <w:rPr>
          <w:lang w:val="en-GB"/>
        </w:rPr>
        <w:t xml:space="preserve">We have divided </w:t>
      </w:r>
      <w:r w:rsidR="00326CD9" w:rsidRPr="00C83B4F">
        <w:rPr>
          <w:lang w:val="en-GB"/>
        </w:rPr>
        <w:t>the complexes for which we have used 200 or 400 poses.</w:t>
      </w:r>
      <w:r w:rsidR="00326CD9">
        <w:rPr>
          <w:lang w:val="en-GB"/>
        </w:rPr>
        <w:t xml:space="preserve"> </w:t>
      </w:r>
    </w:p>
    <w:p w:rsidR="00332FE9" w:rsidRDefault="00332FE9" w:rsidP="002A0A2D"/>
    <w:p w:rsidR="009F4F39" w:rsidRDefault="009F4F39" w:rsidP="002A0A2D"/>
    <w:p w:rsidR="009F4F39" w:rsidRDefault="009F4F39" w:rsidP="002A0A2D"/>
    <w:p w:rsidR="009F4F39" w:rsidRDefault="009F4F39" w:rsidP="002A0A2D"/>
    <w:p w:rsidR="009F4F39" w:rsidRDefault="009F4F39" w:rsidP="002A0A2D"/>
    <w:p w:rsidR="009F4F39" w:rsidRDefault="009F4F39" w:rsidP="002A0A2D"/>
    <w:p w:rsidR="00507763" w:rsidRDefault="00BF4BAB" w:rsidP="00DD0FD2">
      <w:pPr>
        <w:pStyle w:val="TFReferencesSection"/>
      </w:pPr>
      <w:r w:rsidRPr="00BF4BAB">
        <w:lastRenderedPageBreak/>
        <w:t>REFERENCES</w:t>
      </w:r>
    </w:p>
    <w:p w:rsidR="00A541F6" w:rsidRPr="00A541F6" w:rsidRDefault="005051A6" w:rsidP="00A541F6">
      <w:pPr>
        <w:widowControl w:val="0"/>
        <w:autoSpaceDE w:val="0"/>
        <w:autoSpaceDN w:val="0"/>
        <w:adjustRightInd w:val="0"/>
        <w:spacing w:line="480" w:lineRule="auto"/>
        <w:ind w:left="640" w:hanging="640"/>
        <w:rPr>
          <w:rFonts w:cs="Times"/>
          <w:noProof/>
          <w:szCs w:val="24"/>
        </w:rPr>
      </w:pPr>
      <w:r>
        <w:fldChar w:fldCharType="begin" w:fldLock="1"/>
      </w:r>
      <w:r>
        <w:instrText xml:space="preserve">ADDIN Mendeley Bibliography CSL_BIBLIOGRAPHY </w:instrText>
      </w:r>
      <w:r>
        <w:fldChar w:fldCharType="separate"/>
      </w:r>
      <w:r w:rsidR="00A541F6" w:rsidRPr="00A541F6">
        <w:rPr>
          <w:rFonts w:cs="Times"/>
          <w:noProof/>
          <w:szCs w:val="24"/>
        </w:rPr>
        <w:t>1</w:t>
      </w:r>
      <w:r w:rsidR="00A541F6" w:rsidRPr="00A541F6">
        <w:rPr>
          <w:rFonts w:cs="Times"/>
          <w:noProof/>
          <w:szCs w:val="24"/>
        </w:rPr>
        <w:tab/>
        <w:t>H. G. D.A. Case, R.M. Betz, D.S. Cerutti, T.E. Cheatham, III, T.A. Darden, R.E. Duke, T.J. Giese, C. A.W. Goetz, N. Homeyer, S. Izadi, P. Janowski, J. Kaus, A. Kovalenko, T.S. Lee, S. LeGrand, P. Li, I. Lin, T. Luchko, R. Luo, B. Madej, D. Mermelstein, K.M. Merz, G. Monard, H. Nguyen, H.T. Nguyen, J. S. Omelyan, A. Onufriev, D.R. Roe, A. Roitberg, C. Sagui, C.L. Simmerling, W.M. Botello-Smith and L. X. and P. A. K. R.C. Walker, J. Wang, R.M. Wolf, X. Wu, 2016.</w:t>
      </w:r>
    </w:p>
    <w:p w:rsidR="00A541F6" w:rsidRPr="00A541F6" w:rsidRDefault="00A541F6" w:rsidP="00A541F6">
      <w:pPr>
        <w:widowControl w:val="0"/>
        <w:autoSpaceDE w:val="0"/>
        <w:autoSpaceDN w:val="0"/>
        <w:adjustRightInd w:val="0"/>
        <w:spacing w:line="480" w:lineRule="auto"/>
        <w:ind w:left="640" w:hanging="640"/>
        <w:rPr>
          <w:rFonts w:cs="Times"/>
          <w:noProof/>
          <w:szCs w:val="24"/>
        </w:rPr>
      </w:pPr>
      <w:r w:rsidRPr="00A541F6">
        <w:rPr>
          <w:rFonts w:cs="Times"/>
          <w:noProof/>
          <w:szCs w:val="24"/>
        </w:rPr>
        <w:t>2</w:t>
      </w:r>
      <w:r w:rsidRPr="00A541F6">
        <w:rPr>
          <w:rFonts w:cs="Times"/>
          <w:noProof/>
          <w:szCs w:val="24"/>
        </w:rPr>
        <w:tab/>
        <w:t xml:space="preserve">H. J. C. Berendsen, J. P. M. Postma, W. F. Van Gunsteren, A. Dinola and J. R. Haak, Molecular dynamics with coupling to an external bath, </w:t>
      </w:r>
      <w:r w:rsidRPr="00A541F6">
        <w:rPr>
          <w:rFonts w:cs="Times"/>
          <w:i/>
          <w:iCs/>
          <w:noProof/>
          <w:szCs w:val="24"/>
        </w:rPr>
        <w:t>J. Chem. Phys.</w:t>
      </w:r>
      <w:r w:rsidRPr="00A541F6">
        <w:rPr>
          <w:rFonts w:cs="Times"/>
          <w:noProof/>
          <w:szCs w:val="24"/>
        </w:rPr>
        <w:t xml:space="preserve">, 1984, </w:t>
      </w:r>
      <w:r w:rsidRPr="00A541F6">
        <w:rPr>
          <w:rFonts w:cs="Times"/>
          <w:b/>
          <w:bCs/>
          <w:noProof/>
          <w:szCs w:val="24"/>
        </w:rPr>
        <w:t>81</w:t>
      </w:r>
      <w:r w:rsidRPr="00A541F6">
        <w:rPr>
          <w:rFonts w:cs="Times"/>
          <w:noProof/>
          <w:szCs w:val="24"/>
        </w:rPr>
        <w:t>, 3684–3690.</w:t>
      </w:r>
    </w:p>
    <w:p w:rsidR="00A541F6" w:rsidRPr="00A541F6" w:rsidRDefault="00A541F6" w:rsidP="00A541F6">
      <w:pPr>
        <w:widowControl w:val="0"/>
        <w:autoSpaceDE w:val="0"/>
        <w:autoSpaceDN w:val="0"/>
        <w:adjustRightInd w:val="0"/>
        <w:spacing w:line="480" w:lineRule="auto"/>
        <w:ind w:left="640" w:hanging="640"/>
        <w:rPr>
          <w:rFonts w:cs="Times"/>
          <w:noProof/>
          <w:szCs w:val="24"/>
        </w:rPr>
      </w:pPr>
      <w:r w:rsidRPr="00A541F6">
        <w:rPr>
          <w:rFonts w:cs="Times"/>
          <w:noProof/>
          <w:szCs w:val="24"/>
        </w:rPr>
        <w:t>3</w:t>
      </w:r>
      <w:r w:rsidRPr="00A541F6">
        <w:rPr>
          <w:rFonts w:cs="Times"/>
          <w:noProof/>
          <w:szCs w:val="24"/>
        </w:rPr>
        <w:tab/>
        <w:t xml:space="preserve">J. A. Lzaguirre, D. P. Catarello, J. M. Wozniak and R. D. Skeel, Langevin stabilization of molecular dynamics, </w:t>
      </w:r>
      <w:r w:rsidRPr="00A541F6">
        <w:rPr>
          <w:rFonts w:cs="Times"/>
          <w:i/>
          <w:iCs/>
          <w:noProof/>
          <w:szCs w:val="24"/>
        </w:rPr>
        <w:t>J. Chem. Phys.</w:t>
      </w:r>
      <w:r w:rsidRPr="00A541F6">
        <w:rPr>
          <w:rFonts w:cs="Times"/>
          <w:noProof/>
          <w:szCs w:val="24"/>
        </w:rPr>
        <w:t xml:space="preserve">, 2001, </w:t>
      </w:r>
      <w:r w:rsidRPr="00A541F6">
        <w:rPr>
          <w:rFonts w:cs="Times"/>
          <w:b/>
          <w:bCs/>
          <w:noProof/>
          <w:szCs w:val="24"/>
        </w:rPr>
        <w:t>114</w:t>
      </w:r>
      <w:r w:rsidRPr="00A541F6">
        <w:rPr>
          <w:rFonts w:cs="Times"/>
          <w:noProof/>
          <w:szCs w:val="24"/>
        </w:rPr>
        <w:t>, 2090–2098.</w:t>
      </w:r>
    </w:p>
    <w:p w:rsidR="00A541F6" w:rsidRPr="00A541F6" w:rsidRDefault="00A541F6" w:rsidP="00A541F6">
      <w:pPr>
        <w:widowControl w:val="0"/>
        <w:autoSpaceDE w:val="0"/>
        <w:autoSpaceDN w:val="0"/>
        <w:adjustRightInd w:val="0"/>
        <w:spacing w:line="480" w:lineRule="auto"/>
        <w:ind w:left="640" w:hanging="640"/>
        <w:rPr>
          <w:rFonts w:cs="Times"/>
          <w:noProof/>
          <w:szCs w:val="24"/>
        </w:rPr>
      </w:pPr>
      <w:r w:rsidRPr="00A541F6">
        <w:rPr>
          <w:rFonts w:cs="Times"/>
          <w:noProof/>
          <w:szCs w:val="24"/>
        </w:rPr>
        <w:t>4</w:t>
      </w:r>
      <w:r w:rsidRPr="00A541F6">
        <w:rPr>
          <w:rFonts w:cs="Times"/>
          <w:noProof/>
          <w:szCs w:val="24"/>
        </w:rPr>
        <w:tab/>
        <w:t xml:space="preserve">U. Essmann, L. Perera, M. L. Berkowitz, T. Darden, H. Lee and L. G. Pedersen, A smooth particle mesh Ewald method, </w:t>
      </w:r>
      <w:r w:rsidRPr="00A541F6">
        <w:rPr>
          <w:rFonts w:cs="Times"/>
          <w:i/>
          <w:iCs/>
          <w:noProof/>
          <w:szCs w:val="24"/>
        </w:rPr>
        <w:t>J. Chem. Phys.</w:t>
      </w:r>
      <w:r w:rsidRPr="00A541F6">
        <w:rPr>
          <w:rFonts w:cs="Times"/>
          <w:noProof/>
          <w:szCs w:val="24"/>
        </w:rPr>
        <w:t xml:space="preserve">, 1995, </w:t>
      </w:r>
      <w:r w:rsidRPr="00A541F6">
        <w:rPr>
          <w:rFonts w:cs="Times"/>
          <w:b/>
          <w:bCs/>
          <w:noProof/>
          <w:szCs w:val="24"/>
        </w:rPr>
        <w:t>103</w:t>
      </w:r>
      <w:r w:rsidRPr="00A541F6">
        <w:rPr>
          <w:rFonts w:cs="Times"/>
          <w:noProof/>
          <w:szCs w:val="24"/>
        </w:rPr>
        <w:t>, 8577–8593.</w:t>
      </w:r>
    </w:p>
    <w:p w:rsidR="00A541F6" w:rsidRPr="00A541F6" w:rsidRDefault="00A541F6" w:rsidP="00A541F6">
      <w:pPr>
        <w:widowControl w:val="0"/>
        <w:autoSpaceDE w:val="0"/>
        <w:autoSpaceDN w:val="0"/>
        <w:adjustRightInd w:val="0"/>
        <w:spacing w:line="480" w:lineRule="auto"/>
        <w:ind w:left="640" w:hanging="640"/>
        <w:rPr>
          <w:rFonts w:cs="Times"/>
          <w:noProof/>
        </w:rPr>
      </w:pPr>
      <w:r w:rsidRPr="00A541F6">
        <w:rPr>
          <w:rFonts w:cs="Times"/>
          <w:noProof/>
          <w:szCs w:val="24"/>
        </w:rPr>
        <w:t>5</w:t>
      </w:r>
      <w:r w:rsidRPr="00A541F6">
        <w:rPr>
          <w:rFonts w:cs="Times"/>
          <w:noProof/>
          <w:szCs w:val="24"/>
        </w:rPr>
        <w:tab/>
        <w:t xml:space="preserve">J. P. Ryckaert, G. Ciccotti and H. J. C. Berendsen, Numerical integration of the cartesian equations of motion of a system with constraints: molecular dynamics of n-alkanes, </w:t>
      </w:r>
      <w:r w:rsidRPr="00A541F6">
        <w:rPr>
          <w:rFonts w:cs="Times"/>
          <w:i/>
          <w:iCs/>
          <w:noProof/>
          <w:szCs w:val="24"/>
        </w:rPr>
        <w:t>J. Comput. Phys.</w:t>
      </w:r>
      <w:r w:rsidRPr="00A541F6">
        <w:rPr>
          <w:rFonts w:cs="Times"/>
          <w:noProof/>
          <w:szCs w:val="24"/>
        </w:rPr>
        <w:t xml:space="preserve">, 1977, </w:t>
      </w:r>
      <w:r w:rsidRPr="00A541F6">
        <w:rPr>
          <w:rFonts w:cs="Times"/>
          <w:b/>
          <w:bCs/>
          <w:noProof/>
          <w:szCs w:val="24"/>
        </w:rPr>
        <w:t>23</w:t>
      </w:r>
      <w:r w:rsidRPr="00A541F6">
        <w:rPr>
          <w:rFonts w:cs="Times"/>
          <w:noProof/>
          <w:szCs w:val="24"/>
        </w:rPr>
        <w:t>, 327–341.</w:t>
      </w:r>
    </w:p>
    <w:p w:rsidR="00EB4F4F" w:rsidRDefault="005051A6" w:rsidP="00AA69AB">
      <w:pPr>
        <w:pStyle w:val="TFReferencesSection"/>
      </w:pPr>
      <w:r>
        <w:fldChar w:fldCharType="end"/>
      </w:r>
    </w:p>
    <w:sectPr w:rsidR="00EB4F4F" w:rsidSect="003A47D4">
      <w:footerReference w:type="even" r:id="rId10"/>
      <w:footerReference w:type="default" r:id="rId11"/>
      <w:type w:val="continuous"/>
      <w:pgSz w:w="12240" w:h="15840"/>
      <w:pgMar w:top="1440" w:right="1467" w:bottom="1440" w:left="1440" w:header="0" w:footer="0" w:gutter="0"/>
      <w:cols w:space="47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A3996" w:rsidRDefault="007A3996">
      <w:r>
        <w:separator/>
      </w:r>
    </w:p>
  </w:endnote>
  <w:endnote w:type="continuationSeparator" w:id="0">
    <w:p w:rsidR="007A3996" w:rsidRDefault="007A39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New York">
    <w:altName w:val="Tahoma"/>
    <w:panose1 w:val="02040503060506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713E6" w:rsidRDefault="006713E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rsidR="006713E6" w:rsidRDefault="006713E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713E6" w:rsidRDefault="006713E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C4A79">
      <w:rPr>
        <w:rStyle w:val="PageNumber"/>
        <w:noProof/>
      </w:rPr>
      <w:t>1</w:t>
    </w:r>
    <w:r>
      <w:rPr>
        <w:rStyle w:val="PageNumber"/>
      </w:rPr>
      <w:fldChar w:fldCharType="end"/>
    </w:r>
  </w:p>
  <w:p w:rsidR="006713E6" w:rsidRDefault="006713E6">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A3996" w:rsidRDefault="007A3996">
      <w:r>
        <w:separator/>
      </w:r>
    </w:p>
  </w:footnote>
  <w:footnote w:type="continuationSeparator" w:id="0">
    <w:p w:rsidR="007A3996" w:rsidRDefault="007A399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B0D4588"/>
    <w:multiLevelType w:val="hybridMultilevel"/>
    <w:tmpl w:val="56DCB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EC86632"/>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26D3F9A"/>
    <w:multiLevelType w:val="singleLevel"/>
    <w:tmpl w:val="8BC469AA"/>
    <w:lvl w:ilvl="0">
      <w:start w:val="1"/>
      <w:numFmt w:val="lowerLetter"/>
      <w:lvlText w:val="%1."/>
      <w:lvlJc w:val="left"/>
      <w:pPr>
        <w:tabs>
          <w:tab w:val="num" w:pos="720"/>
        </w:tabs>
        <w:ind w:left="720" w:hanging="360"/>
      </w:pPr>
      <w:rPr>
        <w:rFonts w:hint="default"/>
      </w:rPr>
    </w:lvl>
  </w:abstractNum>
  <w:abstractNum w:abstractNumId="3" w15:restartNumberingAfterBreak="0">
    <w:nsid w:val="34FD0C72"/>
    <w:multiLevelType w:val="singleLevel"/>
    <w:tmpl w:val="0409000F"/>
    <w:lvl w:ilvl="0">
      <w:start w:val="1"/>
      <w:numFmt w:val="decimal"/>
      <w:lvlText w:val="%1."/>
      <w:lvlJc w:val="left"/>
      <w:pPr>
        <w:tabs>
          <w:tab w:val="num" w:pos="360"/>
        </w:tabs>
        <w:ind w:left="360" w:hanging="360"/>
      </w:pPr>
      <w:rPr>
        <w:rFonts w:hint="default"/>
      </w:rPr>
    </w:lvl>
  </w:abstractNum>
  <w:abstractNum w:abstractNumId="4" w15:restartNumberingAfterBreak="0">
    <w:nsid w:val="3762623B"/>
    <w:multiLevelType w:val="singleLevel"/>
    <w:tmpl w:val="0409000F"/>
    <w:lvl w:ilvl="0">
      <w:start w:val="1"/>
      <w:numFmt w:val="decimal"/>
      <w:lvlText w:val="%1."/>
      <w:lvlJc w:val="left"/>
      <w:pPr>
        <w:tabs>
          <w:tab w:val="num" w:pos="360"/>
        </w:tabs>
        <w:ind w:left="360" w:hanging="360"/>
      </w:pPr>
      <w:rPr>
        <w:rFonts w:hint="default"/>
      </w:rPr>
    </w:lvl>
  </w:abstractNum>
  <w:abstractNum w:abstractNumId="5" w15:restartNumberingAfterBreak="0">
    <w:nsid w:val="384622AB"/>
    <w:multiLevelType w:val="singleLevel"/>
    <w:tmpl w:val="6FF0DD10"/>
    <w:lvl w:ilvl="0">
      <w:start w:val="1"/>
      <w:numFmt w:val="lowerLetter"/>
      <w:lvlText w:val="%1."/>
      <w:lvlJc w:val="left"/>
      <w:pPr>
        <w:tabs>
          <w:tab w:val="num" w:pos="922"/>
        </w:tabs>
        <w:ind w:left="922" w:hanging="360"/>
      </w:pPr>
      <w:rPr>
        <w:rFonts w:hint="default"/>
      </w:rPr>
    </w:lvl>
  </w:abstractNum>
  <w:abstractNum w:abstractNumId="6" w15:restartNumberingAfterBreak="0">
    <w:nsid w:val="3E7A7E0C"/>
    <w:multiLevelType w:val="singleLevel"/>
    <w:tmpl w:val="E32C900E"/>
    <w:lvl w:ilvl="0">
      <w:start w:val="1"/>
      <w:numFmt w:val="decimal"/>
      <w:lvlText w:val="%1."/>
      <w:lvlJc w:val="left"/>
      <w:pPr>
        <w:tabs>
          <w:tab w:val="num" w:pos="562"/>
        </w:tabs>
        <w:ind w:left="562" w:hanging="360"/>
      </w:pPr>
      <w:rPr>
        <w:rFonts w:hint="default"/>
      </w:rPr>
    </w:lvl>
  </w:abstractNum>
  <w:abstractNum w:abstractNumId="7" w15:restartNumberingAfterBreak="0">
    <w:nsid w:val="41DB2E3C"/>
    <w:multiLevelType w:val="singleLevel"/>
    <w:tmpl w:val="E5E28CB0"/>
    <w:lvl w:ilvl="0">
      <w:start w:val="1"/>
      <w:numFmt w:val="lowerLetter"/>
      <w:lvlText w:val="%1."/>
      <w:lvlJc w:val="left"/>
      <w:pPr>
        <w:tabs>
          <w:tab w:val="num" w:pos="1080"/>
        </w:tabs>
        <w:ind w:left="1080" w:hanging="360"/>
      </w:pPr>
      <w:rPr>
        <w:rFonts w:hint="default"/>
      </w:rPr>
    </w:lvl>
  </w:abstractNum>
  <w:abstractNum w:abstractNumId="8" w15:restartNumberingAfterBreak="0">
    <w:nsid w:val="450E7D30"/>
    <w:multiLevelType w:val="multilevel"/>
    <w:tmpl w:val="EF728DD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6"/>
  </w:num>
  <w:num w:numId="2">
    <w:abstractNumId w:val="4"/>
  </w:num>
  <w:num w:numId="3">
    <w:abstractNumId w:val="7"/>
  </w:num>
  <w:num w:numId="4">
    <w:abstractNumId w:val="5"/>
  </w:num>
  <w:num w:numId="5">
    <w:abstractNumId w:val="3"/>
  </w:num>
  <w:num w:numId="6">
    <w:abstractNumId w:val="2"/>
  </w:num>
  <w:num w:numId="7">
    <w:abstractNumId w:val="1"/>
  </w:num>
  <w:num w:numId="8">
    <w:abstractNumId w:val="0"/>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PCCP2013&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304395"/>
    <w:rsid w:val="000006F1"/>
    <w:rsid w:val="00001504"/>
    <w:rsid w:val="00001B4C"/>
    <w:rsid w:val="00002CC5"/>
    <w:rsid w:val="0000568A"/>
    <w:rsid w:val="00007786"/>
    <w:rsid w:val="00013641"/>
    <w:rsid w:val="00015182"/>
    <w:rsid w:val="000163F9"/>
    <w:rsid w:val="000176DF"/>
    <w:rsid w:val="0002038C"/>
    <w:rsid w:val="00023F29"/>
    <w:rsid w:val="000253D6"/>
    <w:rsid w:val="00025964"/>
    <w:rsid w:val="000276A3"/>
    <w:rsid w:val="00027CA7"/>
    <w:rsid w:val="000300D2"/>
    <w:rsid w:val="0003311D"/>
    <w:rsid w:val="0003320A"/>
    <w:rsid w:val="000347F4"/>
    <w:rsid w:val="00036854"/>
    <w:rsid w:val="0004450F"/>
    <w:rsid w:val="0005660F"/>
    <w:rsid w:val="00060A99"/>
    <w:rsid w:val="00062289"/>
    <w:rsid w:val="00062AE4"/>
    <w:rsid w:val="000646BC"/>
    <w:rsid w:val="00066055"/>
    <w:rsid w:val="000702AD"/>
    <w:rsid w:val="00073D2D"/>
    <w:rsid w:val="000753DE"/>
    <w:rsid w:val="0007608A"/>
    <w:rsid w:val="00081920"/>
    <w:rsid w:val="00082845"/>
    <w:rsid w:val="00087CD4"/>
    <w:rsid w:val="0009129A"/>
    <w:rsid w:val="0009219C"/>
    <w:rsid w:val="000A08DE"/>
    <w:rsid w:val="000A2C46"/>
    <w:rsid w:val="000A2FD9"/>
    <w:rsid w:val="000A3491"/>
    <w:rsid w:val="000A4046"/>
    <w:rsid w:val="000A7040"/>
    <w:rsid w:val="000B01F7"/>
    <w:rsid w:val="000B4062"/>
    <w:rsid w:val="000B539B"/>
    <w:rsid w:val="000B5610"/>
    <w:rsid w:val="000C05CC"/>
    <w:rsid w:val="000C57CF"/>
    <w:rsid w:val="000D10A0"/>
    <w:rsid w:val="000D1114"/>
    <w:rsid w:val="000D1C93"/>
    <w:rsid w:val="000D2CBD"/>
    <w:rsid w:val="000D4050"/>
    <w:rsid w:val="000E074F"/>
    <w:rsid w:val="000E26CF"/>
    <w:rsid w:val="000F2A83"/>
    <w:rsid w:val="000F49ED"/>
    <w:rsid w:val="000F69B1"/>
    <w:rsid w:val="00100C34"/>
    <w:rsid w:val="00101168"/>
    <w:rsid w:val="001052EA"/>
    <w:rsid w:val="00105A8F"/>
    <w:rsid w:val="00116FD3"/>
    <w:rsid w:val="00120240"/>
    <w:rsid w:val="0012190C"/>
    <w:rsid w:val="00121EA5"/>
    <w:rsid w:val="00123348"/>
    <w:rsid w:val="00130520"/>
    <w:rsid w:val="001319D4"/>
    <w:rsid w:val="00132B9F"/>
    <w:rsid w:val="001332A1"/>
    <w:rsid w:val="00136185"/>
    <w:rsid w:val="001446E5"/>
    <w:rsid w:val="00150178"/>
    <w:rsid w:val="00151150"/>
    <w:rsid w:val="00151516"/>
    <w:rsid w:val="0015520D"/>
    <w:rsid w:val="00155AE4"/>
    <w:rsid w:val="00155E8A"/>
    <w:rsid w:val="00156EA0"/>
    <w:rsid w:val="00160EFA"/>
    <w:rsid w:val="00165338"/>
    <w:rsid w:val="00165E77"/>
    <w:rsid w:val="001671D0"/>
    <w:rsid w:val="001749D4"/>
    <w:rsid w:val="0017577E"/>
    <w:rsid w:val="0017617E"/>
    <w:rsid w:val="00181322"/>
    <w:rsid w:val="0018690A"/>
    <w:rsid w:val="0018726E"/>
    <w:rsid w:val="00195ACA"/>
    <w:rsid w:val="001960DA"/>
    <w:rsid w:val="0019776E"/>
    <w:rsid w:val="001A67E6"/>
    <w:rsid w:val="001A7A90"/>
    <w:rsid w:val="001B359C"/>
    <w:rsid w:val="001B486B"/>
    <w:rsid w:val="001B6FE9"/>
    <w:rsid w:val="001C0B68"/>
    <w:rsid w:val="001C67D8"/>
    <w:rsid w:val="001C7D23"/>
    <w:rsid w:val="001D02F7"/>
    <w:rsid w:val="001D17CA"/>
    <w:rsid w:val="001D5A94"/>
    <w:rsid w:val="001D63E5"/>
    <w:rsid w:val="001D6B6B"/>
    <w:rsid w:val="001E63EA"/>
    <w:rsid w:val="001E69AB"/>
    <w:rsid w:val="001E734B"/>
    <w:rsid w:val="001F08FD"/>
    <w:rsid w:val="001F70A8"/>
    <w:rsid w:val="002016FB"/>
    <w:rsid w:val="00204238"/>
    <w:rsid w:val="00210AAA"/>
    <w:rsid w:val="00212B1D"/>
    <w:rsid w:val="00216C3F"/>
    <w:rsid w:val="0021795F"/>
    <w:rsid w:val="0021796F"/>
    <w:rsid w:val="002213C8"/>
    <w:rsid w:val="002230AF"/>
    <w:rsid w:val="00225EE6"/>
    <w:rsid w:val="00225FFC"/>
    <w:rsid w:val="002451EF"/>
    <w:rsid w:val="00245586"/>
    <w:rsid w:val="002476D8"/>
    <w:rsid w:val="00250A76"/>
    <w:rsid w:val="002510F6"/>
    <w:rsid w:val="00251B65"/>
    <w:rsid w:val="00252600"/>
    <w:rsid w:val="002567A4"/>
    <w:rsid w:val="00257078"/>
    <w:rsid w:val="00257EDD"/>
    <w:rsid w:val="00261BE7"/>
    <w:rsid w:val="002621AF"/>
    <w:rsid w:val="002623CD"/>
    <w:rsid w:val="00262622"/>
    <w:rsid w:val="00267580"/>
    <w:rsid w:val="00267D6B"/>
    <w:rsid w:val="00270E5B"/>
    <w:rsid w:val="00271A02"/>
    <w:rsid w:val="00271B5F"/>
    <w:rsid w:val="00273A9F"/>
    <w:rsid w:val="00274A8B"/>
    <w:rsid w:val="002801E8"/>
    <w:rsid w:val="00282304"/>
    <w:rsid w:val="00283BF4"/>
    <w:rsid w:val="0028627E"/>
    <w:rsid w:val="002917F3"/>
    <w:rsid w:val="00291986"/>
    <w:rsid w:val="00291BFE"/>
    <w:rsid w:val="00293DD4"/>
    <w:rsid w:val="00295215"/>
    <w:rsid w:val="002A0A2D"/>
    <w:rsid w:val="002A44AC"/>
    <w:rsid w:val="002A7493"/>
    <w:rsid w:val="002A7E85"/>
    <w:rsid w:val="002B01FB"/>
    <w:rsid w:val="002B3615"/>
    <w:rsid w:val="002B5372"/>
    <w:rsid w:val="002B6087"/>
    <w:rsid w:val="002B6230"/>
    <w:rsid w:val="002B71CD"/>
    <w:rsid w:val="002B78E5"/>
    <w:rsid w:val="002C036E"/>
    <w:rsid w:val="002C1129"/>
    <w:rsid w:val="002C175F"/>
    <w:rsid w:val="002C27F6"/>
    <w:rsid w:val="002C3431"/>
    <w:rsid w:val="002C6941"/>
    <w:rsid w:val="002D09B4"/>
    <w:rsid w:val="002D0BF6"/>
    <w:rsid w:val="002E45B5"/>
    <w:rsid w:val="002E73CF"/>
    <w:rsid w:val="002F3300"/>
    <w:rsid w:val="002F6C89"/>
    <w:rsid w:val="003022E6"/>
    <w:rsid w:val="00304378"/>
    <w:rsid w:val="00304395"/>
    <w:rsid w:val="00305C9E"/>
    <w:rsid w:val="00306411"/>
    <w:rsid w:val="00307DE5"/>
    <w:rsid w:val="00312A22"/>
    <w:rsid w:val="00312E65"/>
    <w:rsid w:val="0032255E"/>
    <w:rsid w:val="00324128"/>
    <w:rsid w:val="003269AF"/>
    <w:rsid w:val="00326CD9"/>
    <w:rsid w:val="00331619"/>
    <w:rsid w:val="0033187C"/>
    <w:rsid w:val="00332954"/>
    <w:rsid w:val="00332FE9"/>
    <w:rsid w:val="003332B2"/>
    <w:rsid w:val="003338BB"/>
    <w:rsid w:val="00335D82"/>
    <w:rsid w:val="0033788B"/>
    <w:rsid w:val="00341B04"/>
    <w:rsid w:val="00342D2F"/>
    <w:rsid w:val="00343312"/>
    <w:rsid w:val="00343BD9"/>
    <w:rsid w:val="00344F67"/>
    <w:rsid w:val="0034532B"/>
    <w:rsid w:val="00345DAC"/>
    <w:rsid w:val="00346D05"/>
    <w:rsid w:val="00347523"/>
    <w:rsid w:val="00354D49"/>
    <w:rsid w:val="003606E6"/>
    <w:rsid w:val="00364EF5"/>
    <w:rsid w:val="003664E9"/>
    <w:rsid w:val="00366A9D"/>
    <w:rsid w:val="003679A1"/>
    <w:rsid w:val="0037098E"/>
    <w:rsid w:val="00372F54"/>
    <w:rsid w:val="0038365E"/>
    <w:rsid w:val="00383A1D"/>
    <w:rsid w:val="00384AA0"/>
    <w:rsid w:val="0038544C"/>
    <w:rsid w:val="00392A9B"/>
    <w:rsid w:val="003930A2"/>
    <w:rsid w:val="00394A94"/>
    <w:rsid w:val="00396241"/>
    <w:rsid w:val="00396F6D"/>
    <w:rsid w:val="00397754"/>
    <w:rsid w:val="003A203A"/>
    <w:rsid w:val="003A4483"/>
    <w:rsid w:val="003A47D4"/>
    <w:rsid w:val="003A5043"/>
    <w:rsid w:val="003B06F5"/>
    <w:rsid w:val="003B1104"/>
    <w:rsid w:val="003B4AF3"/>
    <w:rsid w:val="003B56C1"/>
    <w:rsid w:val="003B65CF"/>
    <w:rsid w:val="003C1EFD"/>
    <w:rsid w:val="003C2478"/>
    <w:rsid w:val="003C28BF"/>
    <w:rsid w:val="003D10FA"/>
    <w:rsid w:val="003E1D70"/>
    <w:rsid w:val="003E1F76"/>
    <w:rsid w:val="003E2750"/>
    <w:rsid w:val="003E2EE0"/>
    <w:rsid w:val="003E3337"/>
    <w:rsid w:val="003E3461"/>
    <w:rsid w:val="003E6F85"/>
    <w:rsid w:val="003E73CD"/>
    <w:rsid w:val="003F1EFB"/>
    <w:rsid w:val="003F270E"/>
    <w:rsid w:val="003F38BC"/>
    <w:rsid w:val="003F4C19"/>
    <w:rsid w:val="003F5357"/>
    <w:rsid w:val="003F72C6"/>
    <w:rsid w:val="003F72E6"/>
    <w:rsid w:val="003F7D2D"/>
    <w:rsid w:val="00400141"/>
    <w:rsid w:val="00400244"/>
    <w:rsid w:val="00401624"/>
    <w:rsid w:val="0040245A"/>
    <w:rsid w:val="004115D8"/>
    <w:rsid w:val="0041244A"/>
    <w:rsid w:val="0041629D"/>
    <w:rsid w:val="004177B1"/>
    <w:rsid w:val="00420404"/>
    <w:rsid w:val="004221AD"/>
    <w:rsid w:val="00422359"/>
    <w:rsid w:val="00423CD3"/>
    <w:rsid w:val="00427156"/>
    <w:rsid w:val="00430C32"/>
    <w:rsid w:val="00432C2D"/>
    <w:rsid w:val="004340F1"/>
    <w:rsid w:val="00434F24"/>
    <w:rsid w:val="004359EA"/>
    <w:rsid w:val="004369ED"/>
    <w:rsid w:val="00441B70"/>
    <w:rsid w:val="004435F4"/>
    <w:rsid w:val="00444768"/>
    <w:rsid w:val="00447509"/>
    <w:rsid w:val="00450BFD"/>
    <w:rsid w:val="004525AD"/>
    <w:rsid w:val="004542DA"/>
    <w:rsid w:val="0045604F"/>
    <w:rsid w:val="004673B3"/>
    <w:rsid w:val="00475FD2"/>
    <w:rsid w:val="004834A0"/>
    <w:rsid w:val="00483CED"/>
    <w:rsid w:val="00485862"/>
    <w:rsid w:val="004864A3"/>
    <w:rsid w:val="00490F77"/>
    <w:rsid w:val="00491847"/>
    <w:rsid w:val="00496480"/>
    <w:rsid w:val="004967B3"/>
    <w:rsid w:val="004A2FC9"/>
    <w:rsid w:val="004A3908"/>
    <w:rsid w:val="004C0198"/>
    <w:rsid w:val="004C0598"/>
    <w:rsid w:val="004C1910"/>
    <w:rsid w:val="004C5A7C"/>
    <w:rsid w:val="004C62FB"/>
    <w:rsid w:val="004D2F0F"/>
    <w:rsid w:val="004E7185"/>
    <w:rsid w:val="004F00C6"/>
    <w:rsid w:val="004F08E5"/>
    <w:rsid w:val="004F0A41"/>
    <w:rsid w:val="004F2A81"/>
    <w:rsid w:val="004F2B9C"/>
    <w:rsid w:val="004F5B5B"/>
    <w:rsid w:val="004F5D44"/>
    <w:rsid w:val="004F6A21"/>
    <w:rsid w:val="00503887"/>
    <w:rsid w:val="00503FE1"/>
    <w:rsid w:val="005051A6"/>
    <w:rsid w:val="00505C26"/>
    <w:rsid w:val="00505E7F"/>
    <w:rsid w:val="00506640"/>
    <w:rsid w:val="00507763"/>
    <w:rsid w:val="005079C5"/>
    <w:rsid w:val="00507B0B"/>
    <w:rsid w:val="005120F7"/>
    <w:rsid w:val="00514022"/>
    <w:rsid w:val="005146DA"/>
    <w:rsid w:val="00515517"/>
    <w:rsid w:val="00522A6E"/>
    <w:rsid w:val="005240C1"/>
    <w:rsid w:val="00524880"/>
    <w:rsid w:val="00525645"/>
    <w:rsid w:val="00525D62"/>
    <w:rsid w:val="00526886"/>
    <w:rsid w:val="005270D3"/>
    <w:rsid w:val="0053040E"/>
    <w:rsid w:val="005344FB"/>
    <w:rsid w:val="0053555B"/>
    <w:rsid w:val="00536A44"/>
    <w:rsid w:val="005402DD"/>
    <w:rsid w:val="0054090D"/>
    <w:rsid w:val="0054091C"/>
    <w:rsid w:val="00541C4E"/>
    <w:rsid w:val="00544AEF"/>
    <w:rsid w:val="0054516D"/>
    <w:rsid w:val="00551DBD"/>
    <w:rsid w:val="005553EF"/>
    <w:rsid w:val="00556D99"/>
    <w:rsid w:val="00560B5A"/>
    <w:rsid w:val="00560C79"/>
    <w:rsid w:val="005616E9"/>
    <w:rsid w:val="00561AA8"/>
    <w:rsid w:val="00566CF2"/>
    <w:rsid w:val="00570DEC"/>
    <w:rsid w:val="00573A1B"/>
    <w:rsid w:val="00574182"/>
    <w:rsid w:val="00574670"/>
    <w:rsid w:val="005846C9"/>
    <w:rsid w:val="00584DE6"/>
    <w:rsid w:val="005907D8"/>
    <w:rsid w:val="00590D06"/>
    <w:rsid w:val="00591A57"/>
    <w:rsid w:val="00596A69"/>
    <w:rsid w:val="00597CA3"/>
    <w:rsid w:val="005A588B"/>
    <w:rsid w:val="005A6995"/>
    <w:rsid w:val="005A7210"/>
    <w:rsid w:val="005A7A6E"/>
    <w:rsid w:val="005B1040"/>
    <w:rsid w:val="005B1145"/>
    <w:rsid w:val="005B3D11"/>
    <w:rsid w:val="005B68DE"/>
    <w:rsid w:val="005C0B71"/>
    <w:rsid w:val="005C3162"/>
    <w:rsid w:val="005C3BB0"/>
    <w:rsid w:val="005C40DB"/>
    <w:rsid w:val="005C7995"/>
    <w:rsid w:val="005D02DA"/>
    <w:rsid w:val="005D077A"/>
    <w:rsid w:val="005D0C10"/>
    <w:rsid w:val="005D4952"/>
    <w:rsid w:val="005D5A6D"/>
    <w:rsid w:val="005D67D7"/>
    <w:rsid w:val="005E193C"/>
    <w:rsid w:val="005E2B33"/>
    <w:rsid w:val="005E2CD6"/>
    <w:rsid w:val="005E41F9"/>
    <w:rsid w:val="005E67EC"/>
    <w:rsid w:val="005F09AA"/>
    <w:rsid w:val="005F65C3"/>
    <w:rsid w:val="006005AD"/>
    <w:rsid w:val="00600CDE"/>
    <w:rsid w:val="00601FC7"/>
    <w:rsid w:val="00602DC5"/>
    <w:rsid w:val="00604395"/>
    <w:rsid w:val="00605A96"/>
    <w:rsid w:val="00606261"/>
    <w:rsid w:val="00616AFF"/>
    <w:rsid w:val="006225D9"/>
    <w:rsid w:val="00622861"/>
    <w:rsid w:val="0064093D"/>
    <w:rsid w:val="00640DF9"/>
    <w:rsid w:val="006413E0"/>
    <w:rsid w:val="00643546"/>
    <w:rsid w:val="00643708"/>
    <w:rsid w:val="006455A5"/>
    <w:rsid w:val="00645DC3"/>
    <w:rsid w:val="00651448"/>
    <w:rsid w:val="00651525"/>
    <w:rsid w:val="0065656B"/>
    <w:rsid w:val="006653DB"/>
    <w:rsid w:val="00666A25"/>
    <w:rsid w:val="00670502"/>
    <w:rsid w:val="006707C4"/>
    <w:rsid w:val="0067126B"/>
    <w:rsid w:val="00671374"/>
    <w:rsid w:val="006713E6"/>
    <w:rsid w:val="006726BE"/>
    <w:rsid w:val="00673A49"/>
    <w:rsid w:val="00674F60"/>
    <w:rsid w:val="00675FFA"/>
    <w:rsid w:val="006823C4"/>
    <w:rsid w:val="006835F1"/>
    <w:rsid w:val="00685EC2"/>
    <w:rsid w:val="00695486"/>
    <w:rsid w:val="006964E8"/>
    <w:rsid w:val="006A22DD"/>
    <w:rsid w:val="006A42AC"/>
    <w:rsid w:val="006A57E7"/>
    <w:rsid w:val="006A5FB1"/>
    <w:rsid w:val="006A6DC4"/>
    <w:rsid w:val="006A702F"/>
    <w:rsid w:val="006A7E14"/>
    <w:rsid w:val="006B0F9F"/>
    <w:rsid w:val="006B2581"/>
    <w:rsid w:val="006B2B97"/>
    <w:rsid w:val="006B3B27"/>
    <w:rsid w:val="006C15E0"/>
    <w:rsid w:val="006C1923"/>
    <w:rsid w:val="006C28F6"/>
    <w:rsid w:val="006C7002"/>
    <w:rsid w:val="006D63D8"/>
    <w:rsid w:val="006D7998"/>
    <w:rsid w:val="006E0960"/>
    <w:rsid w:val="006E2529"/>
    <w:rsid w:val="006E2F72"/>
    <w:rsid w:val="006E49D3"/>
    <w:rsid w:val="006E6DC1"/>
    <w:rsid w:val="006E71BA"/>
    <w:rsid w:val="006F1BE7"/>
    <w:rsid w:val="006F6B5E"/>
    <w:rsid w:val="00701646"/>
    <w:rsid w:val="007030CB"/>
    <w:rsid w:val="00705121"/>
    <w:rsid w:val="00707A29"/>
    <w:rsid w:val="00707AAE"/>
    <w:rsid w:val="00714D87"/>
    <w:rsid w:val="00715FED"/>
    <w:rsid w:val="007174C1"/>
    <w:rsid w:val="00717D78"/>
    <w:rsid w:val="00723344"/>
    <w:rsid w:val="007253E4"/>
    <w:rsid w:val="00727293"/>
    <w:rsid w:val="00731E1D"/>
    <w:rsid w:val="00740A09"/>
    <w:rsid w:val="0074257D"/>
    <w:rsid w:val="00743A9D"/>
    <w:rsid w:val="007456CE"/>
    <w:rsid w:val="0075119A"/>
    <w:rsid w:val="007521C0"/>
    <w:rsid w:val="00753BB7"/>
    <w:rsid w:val="00761118"/>
    <w:rsid w:val="007629D3"/>
    <w:rsid w:val="00765F2D"/>
    <w:rsid w:val="00772495"/>
    <w:rsid w:val="00772692"/>
    <w:rsid w:val="00773B18"/>
    <w:rsid w:val="00780A52"/>
    <w:rsid w:val="00786E46"/>
    <w:rsid w:val="00787F4E"/>
    <w:rsid w:val="00794616"/>
    <w:rsid w:val="00794F23"/>
    <w:rsid w:val="007A3996"/>
    <w:rsid w:val="007A4BB7"/>
    <w:rsid w:val="007A5EB3"/>
    <w:rsid w:val="007B2280"/>
    <w:rsid w:val="007B2C70"/>
    <w:rsid w:val="007B3087"/>
    <w:rsid w:val="007B4D88"/>
    <w:rsid w:val="007B7140"/>
    <w:rsid w:val="007C058D"/>
    <w:rsid w:val="007C46B2"/>
    <w:rsid w:val="007D08C1"/>
    <w:rsid w:val="007D7931"/>
    <w:rsid w:val="007E1327"/>
    <w:rsid w:val="007E32BB"/>
    <w:rsid w:val="007E41CC"/>
    <w:rsid w:val="007E5F0A"/>
    <w:rsid w:val="007F6E09"/>
    <w:rsid w:val="0080080F"/>
    <w:rsid w:val="00800A16"/>
    <w:rsid w:val="00800C1D"/>
    <w:rsid w:val="008047DE"/>
    <w:rsid w:val="00805941"/>
    <w:rsid w:val="008076FE"/>
    <w:rsid w:val="00812185"/>
    <w:rsid w:val="00816126"/>
    <w:rsid w:val="00817A03"/>
    <w:rsid w:val="00823795"/>
    <w:rsid w:val="00831596"/>
    <w:rsid w:val="00832A18"/>
    <w:rsid w:val="00833B5C"/>
    <w:rsid w:val="00834A2A"/>
    <w:rsid w:val="00846E7B"/>
    <w:rsid w:val="00847F63"/>
    <w:rsid w:val="00851772"/>
    <w:rsid w:val="0085221E"/>
    <w:rsid w:val="008533A4"/>
    <w:rsid w:val="008542D0"/>
    <w:rsid w:val="0085695D"/>
    <w:rsid w:val="00863902"/>
    <w:rsid w:val="008655C0"/>
    <w:rsid w:val="00870F03"/>
    <w:rsid w:val="008723CC"/>
    <w:rsid w:val="0087269C"/>
    <w:rsid w:val="00872789"/>
    <w:rsid w:val="00874B7B"/>
    <w:rsid w:val="0087610C"/>
    <w:rsid w:val="00882358"/>
    <w:rsid w:val="00882FCE"/>
    <w:rsid w:val="00884E2E"/>
    <w:rsid w:val="008852B0"/>
    <w:rsid w:val="00886B32"/>
    <w:rsid w:val="00887F37"/>
    <w:rsid w:val="00891F5D"/>
    <w:rsid w:val="00893713"/>
    <w:rsid w:val="00895A83"/>
    <w:rsid w:val="008978FA"/>
    <w:rsid w:val="008B0BAB"/>
    <w:rsid w:val="008B3947"/>
    <w:rsid w:val="008B4CDB"/>
    <w:rsid w:val="008B5BFC"/>
    <w:rsid w:val="008B77F6"/>
    <w:rsid w:val="008C17B4"/>
    <w:rsid w:val="008C2E8D"/>
    <w:rsid w:val="008C4A79"/>
    <w:rsid w:val="008C5BF5"/>
    <w:rsid w:val="008C62E1"/>
    <w:rsid w:val="008C6654"/>
    <w:rsid w:val="008C7CE9"/>
    <w:rsid w:val="008D0051"/>
    <w:rsid w:val="008D0AA9"/>
    <w:rsid w:val="008D1135"/>
    <w:rsid w:val="008D2303"/>
    <w:rsid w:val="008D24CA"/>
    <w:rsid w:val="008D2BA9"/>
    <w:rsid w:val="008D5130"/>
    <w:rsid w:val="008D5FB5"/>
    <w:rsid w:val="008D7AE8"/>
    <w:rsid w:val="008E0AD6"/>
    <w:rsid w:val="008E2314"/>
    <w:rsid w:val="008F2B4D"/>
    <w:rsid w:val="008F7B93"/>
    <w:rsid w:val="00912169"/>
    <w:rsid w:val="00912353"/>
    <w:rsid w:val="0091558F"/>
    <w:rsid w:val="00916BF4"/>
    <w:rsid w:val="009176F5"/>
    <w:rsid w:val="00917D7F"/>
    <w:rsid w:val="0092037A"/>
    <w:rsid w:val="00923482"/>
    <w:rsid w:val="0092389B"/>
    <w:rsid w:val="009246AD"/>
    <w:rsid w:val="009264E0"/>
    <w:rsid w:val="00926B00"/>
    <w:rsid w:val="00930D5D"/>
    <w:rsid w:val="00931273"/>
    <w:rsid w:val="00931B93"/>
    <w:rsid w:val="00933DA0"/>
    <w:rsid w:val="00942D26"/>
    <w:rsid w:val="00942E3E"/>
    <w:rsid w:val="009469AA"/>
    <w:rsid w:val="0094787B"/>
    <w:rsid w:val="00950267"/>
    <w:rsid w:val="00950743"/>
    <w:rsid w:val="009509C4"/>
    <w:rsid w:val="00953680"/>
    <w:rsid w:val="009536C4"/>
    <w:rsid w:val="00953E59"/>
    <w:rsid w:val="00955EF4"/>
    <w:rsid w:val="00960E5F"/>
    <w:rsid w:val="00974D93"/>
    <w:rsid w:val="00975A70"/>
    <w:rsid w:val="00980EEB"/>
    <w:rsid w:val="00983317"/>
    <w:rsid w:val="00983EAE"/>
    <w:rsid w:val="009846BE"/>
    <w:rsid w:val="00985A9C"/>
    <w:rsid w:val="0098670F"/>
    <w:rsid w:val="00987B27"/>
    <w:rsid w:val="009906D2"/>
    <w:rsid w:val="009914C2"/>
    <w:rsid w:val="00993503"/>
    <w:rsid w:val="009965CC"/>
    <w:rsid w:val="00996C51"/>
    <w:rsid w:val="009B4601"/>
    <w:rsid w:val="009B767D"/>
    <w:rsid w:val="009C2943"/>
    <w:rsid w:val="009C6230"/>
    <w:rsid w:val="009C687C"/>
    <w:rsid w:val="009C6AD3"/>
    <w:rsid w:val="009C7B5C"/>
    <w:rsid w:val="009D7C09"/>
    <w:rsid w:val="009E28A6"/>
    <w:rsid w:val="009E490E"/>
    <w:rsid w:val="009E7B28"/>
    <w:rsid w:val="009E7ECD"/>
    <w:rsid w:val="009F2E7E"/>
    <w:rsid w:val="009F3654"/>
    <w:rsid w:val="009F4F39"/>
    <w:rsid w:val="009F53B6"/>
    <w:rsid w:val="009F7EFD"/>
    <w:rsid w:val="00A02C35"/>
    <w:rsid w:val="00A02D62"/>
    <w:rsid w:val="00A04A50"/>
    <w:rsid w:val="00A05C83"/>
    <w:rsid w:val="00A06432"/>
    <w:rsid w:val="00A10DAB"/>
    <w:rsid w:val="00A14EFF"/>
    <w:rsid w:val="00A1550B"/>
    <w:rsid w:val="00A160AC"/>
    <w:rsid w:val="00A17A0C"/>
    <w:rsid w:val="00A20EB5"/>
    <w:rsid w:val="00A22AD6"/>
    <w:rsid w:val="00A22E7C"/>
    <w:rsid w:val="00A26406"/>
    <w:rsid w:val="00A32279"/>
    <w:rsid w:val="00A33A78"/>
    <w:rsid w:val="00A366E8"/>
    <w:rsid w:val="00A3698D"/>
    <w:rsid w:val="00A4267B"/>
    <w:rsid w:val="00A42954"/>
    <w:rsid w:val="00A462D1"/>
    <w:rsid w:val="00A541F6"/>
    <w:rsid w:val="00A54476"/>
    <w:rsid w:val="00A54BA1"/>
    <w:rsid w:val="00A5567C"/>
    <w:rsid w:val="00A61B93"/>
    <w:rsid w:val="00A678EE"/>
    <w:rsid w:val="00A7090B"/>
    <w:rsid w:val="00A70E2B"/>
    <w:rsid w:val="00A72F4A"/>
    <w:rsid w:val="00A7351C"/>
    <w:rsid w:val="00A7358C"/>
    <w:rsid w:val="00A75184"/>
    <w:rsid w:val="00A764EF"/>
    <w:rsid w:val="00A76E0B"/>
    <w:rsid w:val="00A8010C"/>
    <w:rsid w:val="00A856E2"/>
    <w:rsid w:val="00A8730F"/>
    <w:rsid w:val="00A87F88"/>
    <w:rsid w:val="00A93346"/>
    <w:rsid w:val="00A93D73"/>
    <w:rsid w:val="00A94275"/>
    <w:rsid w:val="00AA69AB"/>
    <w:rsid w:val="00AB34C5"/>
    <w:rsid w:val="00AB3B49"/>
    <w:rsid w:val="00AB5783"/>
    <w:rsid w:val="00AB636A"/>
    <w:rsid w:val="00AC603D"/>
    <w:rsid w:val="00AC750A"/>
    <w:rsid w:val="00AD2348"/>
    <w:rsid w:val="00AD3EF4"/>
    <w:rsid w:val="00AD573C"/>
    <w:rsid w:val="00AD6733"/>
    <w:rsid w:val="00AE13AA"/>
    <w:rsid w:val="00AE3BAF"/>
    <w:rsid w:val="00AE40D1"/>
    <w:rsid w:val="00AE421F"/>
    <w:rsid w:val="00AE428B"/>
    <w:rsid w:val="00AF1E8B"/>
    <w:rsid w:val="00AF5C25"/>
    <w:rsid w:val="00AF6F23"/>
    <w:rsid w:val="00AF7126"/>
    <w:rsid w:val="00AF7F6A"/>
    <w:rsid w:val="00B013C7"/>
    <w:rsid w:val="00B0201D"/>
    <w:rsid w:val="00B041F7"/>
    <w:rsid w:val="00B05A88"/>
    <w:rsid w:val="00B133CA"/>
    <w:rsid w:val="00B13F03"/>
    <w:rsid w:val="00B168A0"/>
    <w:rsid w:val="00B22C91"/>
    <w:rsid w:val="00B249CA"/>
    <w:rsid w:val="00B27FFA"/>
    <w:rsid w:val="00B3411A"/>
    <w:rsid w:val="00B41563"/>
    <w:rsid w:val="00B41980"/>
    <w:rsid w:val="00B41B2B"/>
    <w:rsid w:val="00B45083"/>
    <w:rsid w:val="00B5125A"/>
    <w:rsid w:val="00B52727"/>
    <w:rsid w:val="00B53A92"/>
    <w:rsid w:val="00B561FD"/>
    <w:rsid w:val="00B56F80"/>
    <w:rsid w:val="00B60D10"/>
    <w:rsid w:val="00B63EB1"/>
    <w:rsid w:val="00B66707"/>
    <w:rsid w:val="00B70EF8"/>
    <w:rsid w:val="00B72E2D"/>
    <w:rsid w:val="00B733B5"/>
    <w:rsid w:val="00B75A9A"/>
    <w:rsid w:val="00B75BD5"/>
    <w:rsid w:val="00B7618D"/>
    <w:rsid w:val="00B7620B"/>
    <w:rsid w:val="00B7673A"/>
    <w:rsid w:val="00B82C17"/>
    <w:rsid w:val="00B83408"/>
    <w:rsid w:val="00B845FF"/>
    <w:rsid w:val="00B862C0"/>
    <w:rsid w:val="00B92D1E"/>
    <w:rsid w:val="00B92E6A"/>
    <w:rsid w:val="00BA2926"/>
    <w:rsid w:val="00BA4846"/>
    <w:rsid w:val="00BB63CF"/>
    <w:rsid w:val="00BC0384"/>
    <w:rsid w:val="00BC6876"/>
    <w:rsid w:val="00BC722F"/>
    <w:rsid w:val="00BD2C44"/>
    <w:rsid w:val="00BD41FF"/>
    <w:rsid w:val="00BD73E1"/>
    <w:rsid w:val="00BE396A"/>
    <w:rsid w:val="00BE7E0B"/>
    <w:rsid w:val="00BF4BAB"/>
    <w:rsid w:val="00BF63B7"/>
    <w:rsid w:val="00BF63BD"/>
    <w:rsid w:val="00C00014"/>
    <w:rsid w:val="00C0025F"/>
    <w:rsid w:val="00C052A5"/>
    <w:rsid w:val="00C10EE0"/>
    <w:rsid w:val="00C12556"/>
    <w:rsid w:val="00C12FC6"/>
    <w:rsid w:val="00C13010"/>
    <w:rsid w:val="00C14A2E"/>
    <w:rsid w:val="00C21E93"/>
    <w:rsid w:val="00C226B6"/>
    <w:rsid w:val="00C253A7"/>
    <w:rsid w:val="00C26EAC"/>
    <w:rsid w:val="00C33E79"/>
    <w:rsid w:val="00C36760"/>
    <w:rsid w:val="00C42141"/>
    <w:rsid w:val="00C42D0C"/>
    <w:rsid w:val="00C44C12"/>
    <w:rsid w:val="00C45C6D"/>
    <w:rsid w:val="00C461AF"/>
    <w:rsid w:val="00C46ACF"/>
    <w:rsid w:val="00C46E37"/>
    <w:rsid w:val="00C52C1F"/>
    <w:rsid w:val="00C5360A"/>
    <w:rsid w:val="00C54F49"/>
    <w:rsid w:val="00C567D2"/>
    <w:rsid w:val="00C57EB4"/>
    <w:rsid w:val="00C6170A"/>
    <w:rsid w:val="00C62E31"/>
    <w:rsid w:val="00C64CC8"/>
    <w:rsid w:val="00C71B06"/>
    <w:rsid w:val="00C81B9F"/>
    <w:rsid w:val="00C83B4F"/>
    <w:rsid w:val="00C85489"/>
    <w:rsid w:val="00C85C3A"/>
    <w:rsid w:val="00C91BF4"/>
    <w:rsid w:val="00CA0408"/>
    <w:rsid w:val="00CA0852"/>
    <w:rsid w:val="00CA22CE"/>
    <w:rsid w:val="00CA3A00"/>
    <w:rsid w:val="00CB404F"/>
    <w:rsid w:val="00CB5C04"/>
    <w:rsid w:val="00CC32C0"/>
    <w:rsid w:val="00CC36EC"/>
    <w:rsid w:val="00CC4F57"/>
    <w:rsid w:val="00CC58BD"/>
    <w:rsid w:val="00CC6C13"/>
    <w:rsid w:val="00CD1D29"/>
    <w:rsid w:val="00CD39ED"/>
    <w:rsid w:val="00CD4E6B"/>
    <w:rsid w:val="00CE024D"/>
    <w:rsid w:val="00CE0502"/>
    <w:rsid w:val="00CE0906"/>
    <w:rsid w:val="00CE28C3"/>
    <w:rsid w:val="00CE378C"/>
    <w:rsid w:val="00CE4A72"/>
    <w:rsid w:val="00CE67FF"/>
    <w:rsid w:val="00CF14F8"/>
    <w:rsid w:val="00CF1B44"/>
    <w:rsid w:val="00CF24A6"/>
    <w:rsid w:val="00CF595E"/>
    <w:rsid w:val="00CF74C9"/>
    <w:rsid w:val="00CF78F7"/>
    <w:rsid w:val="00D02A21"/>
    <w:rsid w:val="00D03215"/>
    <w:rsid w:val="00D04C13"/>
    <w:rsid w:val="00D10C44"/>
    <w:rsid w:val="00D113EC"/>
    <w:rsid w:val="00D11D86"/>
    <w:rsid w:val="00D11FBD"/>
    <w:rsid w:val="00D173F2"/>
    <w:rsid w:val="00D209AC"/>
    <w:rsid w:val="00D23EDE"/>
    <w:rsid w:val="00D248F1"/>
    <w:rsid w:val="00D25220"/>
    <w:rsid w:val="00D261CF"/>
    <w:rsid w:val="00D27B05"/>
    <w:rsid w:val="00D31D2B"/>
    <w:rsid w:val="00D32E24"/>
    <w:rsid w:val="00D33E4D"/>
    <w:rsid w:val="00D343B4"/>
    <w:rsid w:val="00D35E60"/>
    <w:rsid w:val="00D423D2"/>
    <w:rsid w:val="00D4501E"/>
    <w:rsid w:val="00D4611C"/>
    <w:rsid w:val="00D47B30"/>
    <w:rsid w:val="00D51E7A"/>
    <w:rsid w:val="00D527A8"/>
    <w:rsid w:val="00D556BA"/>
    <w:rsid w:val="00D63C2A"/>
    <w:rsid w:val="00D65B8E"/>
    <w:rsid w:val="00D660A5"/>
    <w:rsid w:val="00D73C35"/>
    <w:rsid w:val="00D76AA2"/>
    <w:rsid w:val="00D772D5"/>
    <w:rsid w:val="00D7771D"/>
    <w:rsid w:val="00D83D20"/>
    <w:rsid w:val="00D84980"/>
    <w:rsid w:val="00D85311"/>
    <w:rsid w:val="00D87BC1"/>
    <w:rsid w:val="00D87D4E"/>
    <w:rsid w:val="00D906B3"/>
    <w:rsid w:val="00D91DC4"/>
    <w:rsid w:val="00D91E8D"/>
    <w:rsid w:val="00D92D9A"/>
    <w:rsid w:val="00D97483"/>
    <w:rsid w:val="00DA095F"/>
    <w:rsid w:val="00DA43C8"/>
    <w:rsid w:val="00DA4CC5"/>
    <w:rsid w:val="00DA661C"/>
    <w:rsid w:val="00DB1B48"/>
    <w:rsid w:val="00DB427C"/>
    <w:rsid w:val="00DB7ED9"/>
    <w:rsid w:val="00DC0699"/>
    <w:rsid w:val="00DC3872"/>
    <w:rsid w:val="00DC3AD8"/>
    <w:rsid w:val="00DC45C4"/>
    <w:rsid w:val="00DD0FD2"/>
    <w:rsid w:val="00DD6DBB"/>
    <w:rsid w:val="00DD781D"/>
    <w:rsid w:val="00DE3578"/>
    <w:rsid w:val="00DF29F0"/>
    <w:rsid w:val="00DF5016"/>
    <w:rsid w:val="00DF50DF"/>
    <w:rsid w:val="00DF7ED2"/>
    <w:rsid w:val="00E011C2"/>
    <w:rsid w:val="00E03191"/>
    <w:rsid w:val="00E05A3E"/>
    <w:rsid w:val="00E074F2"/>
    <w:rsid w:val="00E10308"/>
    <w:rsid w:val="00E12CC4"/>
    <w:rsid w:val="00E14DEA"/>
    <w:rsid w:val="00E1549E"/>
    <w:rsid w:val="00E16342"/>
    <w:rsid w:val="00E16E62"/>
    <w:rsid w:val="00E216C5"/>
    <w:rsid w:val="00E21B70"/>
    <w:rsid w:val="00E233BE"/>
    <w:rsid w:val="00E26566"/>
    <w:rsid w:val="00E2768C"/>
    <w:rsid w:val="00E27A39"/>
    <w:rsid w:val="00E322FA"/>
    <w:rsid w:val="00E42654"/>
    <w:rsid w:val="00E45591"/>
    <w:rsid w:val="00E5056E"/>
    <w:rsid w:val="00E51AB7"/>
    <w:rsid w:val="00E544F9"/>
    <w:rsid w:val="00E54DEE"/>
    <w:rsid w:val="00E573F6"/>
    <w:rsid w:val="00E61C75"/>
    <w:rsid w:val="00E620F1"/>
    <w:rsid w:val="00E623A7"/>
    <w:rsid w:val="00E66EBC"/>
    <w:rsid w:val="00E671E3"/>
    <w:rsid w:val="00E6727A"/>
    <w:rsid w:val="00E72A33"/>
    <w:rsid w:val="00E7740D"/>
    <w:rsid w:val="00E77CFE"/>
    <w:rsid w:val="00E810EE"/>
    <w:rsid w:val="00E82862"/>
    <w:rsid w:val="00E828A0"/>
    <w:rsid w:val="00E83C3C"/>
    <w:rsid w:val="00E8573A"/>
    <w:rsid w:val="00E85ED6"/>
    <w:rsid w:val="00E86C13"/>
    <w:rsid w:val="00E91482"/>
    <w:rsid w:val="00E94081"/>
    <w:rsid w:val="00E962EE"/>
    <w:rsid w:val="00E96302"/>
    <w:rsid w:val="00E97945"/>
    <w:rsid w:val="00EA0F34"/>
    <w:rsid w:val="00EA2104"/>
    <w:rsid w:val="00EA507A"/>
    <w:rsid w:val="00EB1546"/>
    <w:rsid w:val="00EB167E"/>
    <w:rsid w:val="00EB3FC9"/>
    <w:rsid w:val="00EB45AF"/>
    <w:rsid w:val="00EB4F4F"/>
    <w:rsid w:val="00EB50E0"/>
    <w:rsid w:val="00EB51D0"/>
    <w:rsid w:val="00EB5A0F"/>
    <w:rsid w:val="00EB5DC0"/>
    <w:rsid w:val="00EB5F2D"/>
    <w:rsid w:val="00EB7AC4"/>
    <w:rsid w:val="00EC056E"/>
    <w:rsid w:val="00EC120D"/>
    <w:rsid w:val="00EC28FF"/>
    <w:rsid w:val="00EC33F1"/>
    <w:rsid w:val="00ED04FD"/>
    <w:rsid w:val="00ED0963"/>
    <w:rsid w:val="00ED1F45"/>
    <w:rsid w:val="00ED40FB"/>
    <w:rsid w:val="00ED42AB"/>
    <w:rsid w:val="00ED4434"/>
    <w:rsid w:val="00ED54E9"/>
    <w:rsid w:val="00ED7BDD"/>
    <w:rsid w:val="00EE4E25"/>
    <w:rsid w:val="00EE6764"/>
    <w:rsid w:val="00EE70FB"/>
    <w:rsid w:val="00EE7CAC"/>
    <w:rsid w:val="00EE7D85"/>
    <w:rsid w:val="00EF00DE"/>
    <w:rsid w:val="00EF0492"/>
    <w:rsid w:val="00F00052"/>
    <w:rsid w:val="00F10036"/>
    <w:rsid w:val="00F129A5"/>
    <w:rsid w:val="00F12FD2"/>
    <w:rsid w:val="00F13405"/>
    <w:rsid w:val="00F134F5"/>
    <w:rsid w:val="00F14952"/>
    <w:rsid w:val="00F14AC6"/>
    <w:rsid w:val="00F15850"/>
    <w:rsid w:val="00F15C39"/>
    <w:rsid w:val="00F20A8E"/>
    <w:rsid w:val="00F21AC4"/>
    <w:rsid w:val="00F267A9"/>
    <w:rsid w:val="00F27DBA"/>
    <w:rsid w:val="00F30B88"/>
    <w:rsid w:val="00F31A46"/>
    <w:rsid w:val="00F32864"/>
    <w:rsid w:val="00F35D06"/>
    <w:rsid w:val="00F43C32"/>
    <w:rsid w:val="00F44043"/>
    <w:rsid w:val="00F47B85"/>
    <w:rsid w:val="00F50971"/>
    <w:rsid w:val="00F5269E"/>
    <w:rsid w:val="00F5645C"/>
    <w:rsid w:val="00F5736B"/>
    <w:rsid w:val="00F64841"/>
    <w:rsid w:val="00F733CC"/>
    <w:rsid w:val="00F75A1F"/>
    <w:rsid w:val="00F82051"/>
    <w:rsid w:val="00F833A4"/>
    <w:rsid w:val="00F84B22"/>
    <w:rsid w:val="00F858AA"/>
    <w:rsid w:val="00F90167"/>
    <w:rsid w:val="00F911E5"/>
    <w:rsid w:val="00F91BB1"/>
    <w:rsid w:val="00F92A91"/>
    <w:rsid w:val="00F95E5B"/>
    <w:rsid w:val="00F96ACA"/>
    <w:rsid w:val="00F96AEA"/>
    <w:rsid w:val="00FA0A19"/>
    <w:rsid w:val="00FA0F60"/>
    <w:rsid w:val="00FA258A"/>
    <w:rsid w:val="00FA56AA"/>
    <w:rsid w:val="00FA6F56"/>
    <w:rsid w:val="00FB36F8"/>
    <w:rsid w:val="00FB553C"/>
    <w:rsid w:val="00FB55DB"/>
    <w:rsid w:val="00FB64F9"/>
    <w:rsid w:val="00FB74A5"/>
    <w:rsid w:val="00FC063E"/>
    <w:rsid w:val="00FC0C9F"/>
    <w:rsid w:val="00FC210D"/>
    <w:rsid w:val="00FC28E6"/>
    <w:rsid w:val="00FC3516"/>
    <w:rsid w:val="00FC6012"/>
    <w:rsid w:val="00FC7117"/>
    <w:rsid w:val="00FD0DE2"/>
    <w:rsid w:val="00FD13BF"/>
    <w:rsid w:val="00FD22AB"/>
    <w:rsid w:val="00FD3503"/>
    <w:rsid w:val="00FD50D9"/>
    <w:rsid w:val="00FD7AF8"/>
    <w:rsid w:val="00FE0210"/>
    <w:rsid w:val="00FE022A"/>
    <w:rsid w:val="00FE2C59"/>
    <w:rsid w:val="00FE5884"/>
    <w:rsid w:val="00FE6219"/>
    <w:rsid w:val="00FF2D4B"/>
    <w:rsid w:val="00FF5691"/>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21D40D01-8DDA-4601-9C9F-09C05D6B34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New York" w:eastAsia="Times New Roman" w:hAnsi="New York"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50178"/>
    <w:pPr>
      <w:spacing w:after="200"/>
      <w:jc w:val="both"/>
    </w:pPr>
    <w:rPr>
      <w:rFonts w:ascii="Times" w:hAnsi="Time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rsid w:val="00150178"/>
    <w:rPr>
      <w:color w:val="800080"/>
      <w:u w:val="single"/>
    </w:rPr>
  </w:style>
  <w:style w:type="paragraph" w:styleId="BodyText">
    <w:name w:val="Body Text"/>
    <w:basedOn w:val="Normal"/>
    <w:link w:val="BodyTextChar"/>
    <w:rsid w:val="00150178"/>
    <w:pPr>
      <w:jc w:val="center"/>
    </w:pPr>
    <w:rPr>
      <w:b/>
      <w:sz w:val="40"/>
    </w:rPr>
  </w:style>
  <w:style w:type="paragraph" w:styleId="FootnoteText">
    <w:name w:val="footnote text"/>
    <w:basedOn w:val="Normal"/>
    <w:next w:val="TFReferencesSection"/>
    <w:link w:val="FootnoteTextChar"/>
    <w:semiHidden/>
    <w:rsid w:val="00150178"/>
  </w:style>
  <w:style w:type="paragraph" w:customStyle="1" w:styleId="TFReferencesSection">
    <w:name w:val="TF_References_Section"/>
    <w:basedOn w:val="Normal"/>
    <w:rsid w:val="00150178"/>
    <w:pPr>
      <w:spacing w:line="480" w:lineRule="auto"/>
      <w:ind w:firstLine="187"/>
    </w:pPr>
  </w:style>
  <w:style w:type="paragraph" w:customStyle="1" w:styleId="TAMainText">
    <w:name w:val="TA_Main_Text"/>
    <w:basedOn w:val="Normal"/>
    <w:link w:val="TAMainTextCarter"/>
    <w:rsid w:val="00150178"/>
    <w:pPr>
      <w:spacing w:after="0" w:line="480" w:lineRule="auto"/>
      <w:ind w:firstLine="202"/>
    </w:pPr>
  </w:style>
  <w:style w:type="paragraph" w:customStyle="1" w:styleId="BATitle">
    <w:name w:val="BA_Title"/>
    <w:basedOn w:val="Normal"/>
    <w:next w:val="BBAuthorName"/>
    <w:rsid w:val="00150178"/>
    <w:pPr>
      <w:spacing w:before="720" w:after="360" w:line="480" w:lineRule="auto"/>
      <w:jc w:val="center"/>
    </w:pPr>
    <w:rPr>
      <w:rFonts w:ascii="Times New Roman" w:hAnsi="Times New Roman"/>
      <w:sz w:val="44"/>
    </w:rPr>
  </w:style>
  <w:style w:type="paragraph" w:customStyle="1" w:styleId="BBAuthorName">
    <w:name w:val="BB_Author_Name"/>
    <w:basedOn w:val="Normal"/>
    <w:next w:val="BCAuthorAddress"/>
    <w:rsid w:val="00150178"/>
    <w:pPr>
      <w:spacing w:after="240" w:line="480" w:lineRule="auto"/>
      <w:jc w:val="center"/>
    </w:pPr>
    <w:rPr>
      <w:i/>
    </w:rPr>
  </w:style>
  <w:style w:type="paragraph" w:customStyle="1" w:styleId="BCAuthorAddress">
    <w:name w:val="BC_Author_Address"/>
    <w:basedOn w:val="Normal"/>
    <w:next w:val="BIEmailAddress"/>
    <w:rsid w:val="00150178"/>
    <w:pPr>
      <w:spacing w:after="240" w:line="480" w:lineRule="auto"/>
      <w:jc w:val="center"/>
    </w:pPr>
  </w:style>
  <w:style w:type="paragraph" w:customStyle="1" w:styleId="BIEmailAddress">
    <w:name w:val="BI_Email_Address"/>
    <w:basedOn w:val="Normal"/>
    <w:next w:val="AIReceivedDate"/>
    <w:rsid w:val="00150178"/>
    <w:pPr>
      <w:spacing w:line="480" w:lineRule="auto"/>
    </w:pPr>
  </w:style>
  <w:style w:type="paragraph" w:customStyle="1" w:styleId="AIReceivedDate">
    <w:name w:val="AI_Received_Date"/>
    <w:basedOn w:val="Normal"/>
    <w:next w:val="BDAbstract"/>
    <w:rsid w:val="00150178"/>
    <w:pPr>
      <w:spacing w:after="240" w:line="480" w:lineRule="auto"/>
    </w:pPr>
    <w:rPr>
      <w:b/>
    </w:rPr>
  </w:style>
  <w:style w:type="paragraph" w:customStyle="1" w:styleId="BDAbstract">
    <w:name w:val="BD_Abstract"/>
    <w:basedOn w:val="Normal"/>
    <w:next w:val="TAMainText"/>
    <w:rsid w:val="00150178"/>
    <w:pPr>
      <w:spacing w:before="360" w:after="360" w:line="480" w:lineRule="auto"/>
    </w:pPr>
  </w:style>
  <w:style w:type="paragraph" w:customStyle="1" w:styleId="TDAcknowledgments">
    <w:name w:val="TD_Acknowledgments"/>
    <w:basedOn w:val="Normal"/>
    <w:next w:val="Normal"/>
    <w:rsid w:val="00150178"/>
    <w:pPr>
      <w:spacing w:before="200" w:line="480" w:lineRule="auto"/>
      <w:ind w:firstLine="202"/>
    </w:pPr>
  </w:style>
  <w:style w:type="paragraph" w:customStyle="1" w:styleId="TESupportingInformation">
    <w:name w:val="TE_Supporting_Information"/>
    <w:basedOn w:val="Normal"/>
    <w:next w:val="Normal"/>
    <w:rsid w:val="00150178"/>
    <w:pPr>
      <w:spacing w:line="480" w:lineRule="auto"/>
      <w:ind w:firstLine="187"/>
    </w:pPr>
  </w:style>
  <w:style w:type="paragraph" w:customStyle="1" w:styleId="VCSchemeTitle">
    <w:name w:val="VC_Scheme_Title"/>
    <w:basedOn w:val="Normal"/>
    <w:next w:val="Normal"/>
    <w:rsid w:val="00150178"/>
    <w:pPr>
      <w:spacing w:line="480" w:lineRule="auto"/>
    </w:pPr>
  </w:style>
  <w:style w:type="paragraph" w:customStyle="1" w:styleId="VDTableTitle">
    <w:name w:val="VD_Table_Title"/>
    <w:basedOn w:val="Normal"/>
    <w:next w:val="Normal"/>
    <w:link w:val="VDTableTitleCarter"/>
    <w:rsid w:val="00150178"/>
    <w:pPr>
      <w:spacing w:line="480" w:lineRule="auto"/>
    </w:pPr>
  </w:style>
  <w:style w:type="paragraph" w:customStyle="1" w:styleId="VAFigureCaption">
    <w:name w:val="VA_Figure_Caption"/>
    <w:basedOn w:val="Normal"/>
    <w:next w:val="Normal"/>
    <w:rsid w:val="00150178"/>
    <w:pPr>
      <w:spacing w:line="480" w:lineRule="auto"/>
    </w:pPr>
  </w:style>
  <w:style w:type="paragraph" w:customStyle="1" w:styleId="VBChartTitle">
    <w:name w:val="VB_Chart_Title"/>
    <w:basedOn w:val="Normal"/>
    <w:next w:val="Normal"/>
    <w:rsid w:val="00150178"/>
    <w:pPr>
      <w:spacing w:line="480" w:lineRule="auto"/>
    </w:pPr>
  </w:style>
  <w:style w:type="paragraph" w:customStyle="1" w:styleId="FETableFootnote">
    <w:name w:val="FE_Table_Footnote"/>
    <w:basedOn w:val="Normal"/>
    <w:next w:val="Normal"/>
    <w:rsid w:val="00150178"/>
    <w:pPr>
      <w:ind w:firstLine="187"/>
    </w:pPr>
  </w:style>
  <w:style w:type="paragraph" w:customStyle="1" w:styleId="FCChartFootnote">
    <w:name w:val="FC_Chart_Footnote"/>
    <w:basedOn w:val="Normal"/>
    <w:next w:val="Normal"/>
    <w:rsid w:val="00150178"/>
    <w:pPr>
      <w:ind w:firstLine="187"/>
    </w:pPr>
  </w:style>
  <w:style w:type="paragraph" w:customStyle="1" w:styleId="FDSchemeFootnote">
    <w:name w:val="FD_Scheme_Footnote"/>
    <w:basedOn w:val="Normal"/>
    <w:next w:val="Normal"/>
    <w:rsid w:val="00150178"/>
    <w:pPr>
      <w:ind w:firstLine="187"/>
    </w:pPr>
  </w:style>
  <w:style w:type="paragraph" w:customStyle="1" w:styleId="TCTableBody">
    <w:name w:val="TC_Table_Body"/>
    <w:basedOn w:val="Normal"/>
    <w:rsid w:val="00150178"/>
  </w:style>
  <w:style w:type="paragraph" w:customStyle="1" w:styleId="AFTitleRunningHead">
    <w:name w:val="AF_Title_Running_Head"/>
    <w:basedOn w:val="Normal"/>
    <w:next w:val="TAMainText"/>
    <w:rsid w:val="00150178"/>
    <w:pPr>
      <w:spacing w:line="480" w:lineRule="auto"/>
    </w:pPr>
  </w:style>
  <w:style w:type="paragraph" w:customStyle="1" w:styleId="BEAuthorBiography">
    <w:name w:val="BE_Author_Biography"/>
    <w:basedOn w:val="Normal"/>
    <w:rsid w:val="00150178"/>
    <w:pPr>
      <w:spacing w:line="480" w:lineRule="auto"/>
    </w:pPr>
  </w:style>
  <w:style w:type="paragraph" w:customStyle="1" w:styleId="FACorrespondingAuthorFootnote">
    <w:name w:val="FA_Corresponding_Author_Footnote"/>
    <w:basedOn w:val="Normal"/>
    <w:next w:val="TAMainText"/>
    <w:rsid w:val="00150178"/>
    <w:pPr>
      <w:spacing w:line="480" w:lineRule="auto"/>
    </w:pPr>
  </w:style>
  <w:style w:type="paragraph" w:customStyle="1" w:styleId="SNSynopsisTOC">
    <w:name w:val="SN_Synopsis_TOC"/>
    <w:basedOn w:val="Normal"/>
    <w:rsid w:val="00150178"/>
    <w:pPr>
      <w:spacing w:line="480" w:lineRule="auto"/>
    </w:pPr>
  </w:style>
  <w:style w:type="character" w:styleId="Hyperlink">
    <w:name w:val="Hyperlink"/>
    <w:rsid w:val="00150178"/>
    <w:rPr>
      <w:color w:val="0000FF"/>
      <w:u w:val="single"/>
    </w:rPr>
  </w:style>
  <w:style w:type="paragraph" w:styleId="Footer">
    <w:name w:val="footer"/>
    <w:basedOn w:val="Normal"/>
    <w:link w:val="FooterChar"/>
    <w:rsid w:val="00150178"/>
    <w:pPr>
      <w:tabs>
        <w:tab w:val="center" w:pos="4320"/>
        <w:tab w:val="right" w:pos="8640"/>
      </w:tabs>
    </w:pPr>
  </w:style>
  <w:style w:type="paragraph" w:customStyle="1" w:styleId="BGKeywords">
    <w:name w:val="BG_Keywords"/>
    <w:basedOn w:val="Normal"/>
    <w:rsid w:val="00150178"/>
    <w:pPr>
      <w:spacing w:line="480" w:lineRule="auto"/>
    </w:pPr>
  </w:style>
  <w:style w:type="paragraph" w:customStyle="1" w:styleId="BHBriefs">
    <w:name w:val="BH_Briefs"/>
    <w:basedOn w:val="Normal"/>
    <w:rsid w:val="00150178"/>
    <w:pPr>
      <w:spacing w:line="480" w:lineRule="auto"/>
    </w:pPr>
  </w:style>
  <w:style w:type="character" w:styleId="PageNumber">
    <w:name w:val="page number"/>
    <w:basedOn w:val="DefaultParagraphFont"/>
    <w:rsid w:val="00150178"/>
  </w:style>
  <w:style w:type="paragraph" w:styleId="BalloonText">
    <w:name w:val="Balloon Text"/>
    <w:basedOn w:val="Normal"/>
    <w:link w:val="BalloonTextChar"/>
    <w:semiHidden/>
    <w:rsid w:val="00E96302"/>
    <w:rPr>
      <w:rFonts w:ascii="Tahoma" w:hAnsi="Tahoma" w:cs="Tahoma"/>
      <w:sz w:val="16"/>
      <w:szCs w:val="16"/>
    </w:rPr>
  </w:style>
  <w:style w:type="paragraph" w:customStyle="1" w:styleId="StyleFACorrespondingAuthorFootnote7pt">
    <w:name w:val="Style FA_Corresponding_Author_Footnote + 7 pt"/>
    <w:basedOn w:val="Normal"/>
    <w:next w:val="BGKeywords"/>
    <w:link w:val="StyleFACorrespondingAuthorFootnote7ptChar"/>
    <w:autoRedefine/>
    <w:rsid w:val="00C26EAC"/>
    <w:pPr>
      <w:spacing w:after="240" w:line="480" w:lineRule="auto"/>
      <w:jc w:val="left"/>
    </w:pPr>
  </w:style>
  <w:style w:type="character" w:customStyle="1" w:styleId="StyleFACorrespondingAuthorFootnote7ptChar">
    <w:name w:val="Style FA_Corresponding_Author_Footnote + 7 pt Char"/>
    <w:link w:val="StyleFACorrespondingAuthorFootnote7pt"/>
    <w:rsid w:val="00C26EAC"/>
    <w:rPr>
      <w:rFonts w:ascii="Times" w:hAnsi="Times"/>
      <w:sz w:val="24"/>
    </w:rPr>
  </w:style>
  <w:style w:type="paragraph" w:customStyle="1" w:styleId="FAAuthorInfoSubtitle">
    <w:name w:val="FA_Author_Info_Subtitle"/>
    <w:basedOn w:val="Normal"/>
    <w:link w:val="FAAuthorInfoSubtitleChar"/>
    <w:autoRedefine/>
    <w:rsid w:val="00DD6DBB"/>
    <w:pPr>
      <w:spacing w:before="120" w:after="60" w:line="480" w:lineRule="auto"/>
      <w:jc w:val="left"/>
    </w:pPr>
    <w:rPr>
      <w:b/>
    </w:rPr>
  </w:style>
  <w:style w:type="character" w:customStyle="1" w:styleId="FAAuthorInfoSubtitleChar">
    <w:name w:val="FA_Author_Info_Subtitle Char"/>
    <w:link w:val="FAAuthorInfoSubtitle"/>
    <w:rsid w:val="00DD6DBB"/>
    <w:rPr>
      <w:rFonts w:ascii="Times" w:hAnsi="Times"/>
      <w:b/>
      <w:sz w:val="24"/>
    </w:rPr>
  </w:style>
  <w:style w:type="paragraph" w:customStyle="1" w:styleId="Default">
    <w:name w:val="Default"/>
    <w:rsid w:val="001A7A90"/>
    <w:pPr>
      <w:autoSpaceDE w:val="0"/>
      <w:autoSpaceDN w:val="0"/>
      <w:adjustRightInd w:val="0"/>
    </w:pPr>
    <w:rPr>
      <w:rFonts w:ascii="Symbol" w:hAnsi="Symbol" w:cs="Symbol"/>
      <w:color w:val="000000"/>
      <w:sz w:val="24"/>
      <w:szCs w:val="24"/>
    </w:rPr>
  </w:style>
  <w:style w:type="table" w:customStyle="1" w:styleId="TabelaSimples41">
    <w:name w:val="Tabela Simples 41"/>
    <w:basedOn w:val="TableNormal"/>
    <w:rsid w:val="00D248F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NoSpacing">
    <w:name w:val="No Spacing"/>
    <w:uiPriority w:val="1"/>
    <w:qFormat/>
    <w:rsid w:val="00D04C13"/>
    <w:pPr>
      <w:jc w:val="both"/>
    </w:pPr>
    <w:rPr>
      <w:rFonts w:ascii="Times" w:hAnsi="Times"/>
      <w:sz w:val="24"/>
    </w:rPr>
  </w:style>
  <w:style w:type="paragraph" w:styleId="CommentText">
    <w:name w:val="annotation text"/>
    <w:basedOn w:val="Normal"/>
    <w:link w:val="CommentTextChar"/>
    <w:semiHidden/>
    <w:unhideWhenUsed/>
    <w:rsid w:val="000B539B"/>
    <w:rPr>
      <w:sz w:val="20"/>
    </w:rPr>
  </w:style>
  <w:style w:type="character" w:customStyle="1" w:styleId="CommentTextChar">
    <w:name w:val="Comment Text Char"/>
    <w:basedOn w:val="DefaultParagraphFont"/>
    <w:link w:val="CommentText"/>
    <w:semiHidden/>
    <w:rsid w:val="000B539B"/>
    <w:rPr>
      <w:rFonts w:ascii="Times" w:hAnsi="Times"/>
    </w:rPr>
  </w:style>
  <w:style w:type="paragraph" w:styleId="CommentSubject">
    <w:name w:val="annotation subject"/>
    <w:basedOn w:val="CommentText"/>
    <w:next w:val="CommentText"/>
    <w:link w:val="CommentSubjectChar"/>
    <w:uiPriority w:val="99"/>
    <w:semiHidden/>
    <w:unhideWhenUsed/>
    <w:rsid w:val="000B539B"/>
    <w:pPr>
      <w:spacing w:after="160"/>
      <w:jc w:val="left"/>
    </w:pPr>
    <w:rPr>
      <w:rFonts w:asciiTheme="minorHAnsi" w:eastAsiaTheme="minorHAnsi" w:hAnsiTheme="minorHAnsi" w:cstheme="minorBidi"/>
      <w:b/>
      <w:bCs/>
      <w:lang w:val="pt-PT"/>
    </w:rPr>
  </w:style>
  <w:style w:type="character" w:customStyle="1" w:styleId="CommentSubjectChar">
    <w:name w:val="Comment Subject Char"/>
    <w:basedOn w:val="CommentTextChar"/>
    <w:link w:val="CommentSubject"/>
    <w:uiPriority w:val="99"/>
    <w:semiHidden/>
    <w:rsid w:val="000B539B"/>
    <w:rPr>
      <w:rFonts w:asciiTheme="minorHAnsi" w:eastAsiaTheme="minorHAnsi" w:hAnsiTheme="minorHAnsi" w:cstheme="minorBidi"/>
      <w:b/>
      <w:bCs/>
      <w:lang w:val="pt-PT"/>
    </w:rPr>
  </w:style>
  <w:style w:type="paragraph" w:styleId="ListParagraph">
    <w:name w:val="List Paragraph"/>
    <w:basedOn w:val="Normal"/>
    <w:uiPriority w:val="34"/>
    <w:qFormat/>
    <w:rsid w:val="00F5736B"/>
    <w:pPr>
      <w:ind w:left="720"/>
      <w:contextualSpacing/>
    </w:pPr>
  </w:style>
  <w:style w:type="paragraph" w:customStyle="1" w:styleId="EndNoteBibliographyTitle">
    <w:name w:val="EndNote Bibliography Title"/>
    <w:basedOn w:val="Normal"/>
    <w:link w:val="EndNoteBibliographyTitleCarter"/>
    <w:rsid w:val="00E72A33"/>
    <w:pPr>
      <w:spacing w:after="0"/>
      <w:jc w:val="center"/>
    </w:pPr>
    <w:rPr>
      <w:rFonts w:ascii="Times New Roman" w:hAnsi="Times New Roman"/>
      <w:noProof/>
    </w:rPr>
  </w:style>
  <w:style w:type="character" w:customStyle="1" w:styleId="TAMainTextCarter">
    <w:name w:val="TA_Main_Text Caráter"/>
    <w:basedOn w:val="DefaultParagraphFont"/>
    <w:link w:val="TAMainText"/>
    <w:rsid w:val="00E72A33"/>
    <w:rPr>
      <w:rFonts w:ascii="Times" w:hAnsi="Times"/>
      <w:sz w:val="24"/>
    </w:rPr>
  </w:style>
  <w:style w:type="character" w:customStyle="1" w:styleId="EndNoteBibliographyTitleCarter">
    <w:name w:val="EndNote Bibliography Title Caráter"/>
    <w:basedOn w:val="TAMainTextCarter"/>
    <w:link w:val="EndNoteBibliographyTitle"/>
    <w:rsid w:val="00E72A33"/>
    <w:rPr>
      <w:rFonts w:ascii="Times New Roman" w:hAnsi="Times New Roman"/>
      <w:noProof/>
      <w:sz w:val="24"/>
    </w:rPr>
  </w:style>
  <w:style w:type="paragraph" w:customStyle="1" w:styleId="EndNoteBibliography">
    <w:name w:val="EndNote Bibliography"/>
    <w:basedOn w:val="Normal"/>
    <w:link w:val="EndNoteBibliographyCarter"/>
    <w:rsid w:val="00E72A33"/>
    <w:rPr>
      <w:rFonts w:ascii="Times New Roman" w:hAnsi="Times New Roman"/>
      <w:noProof/>
    </w:rPr>
  </w:style>
  <w:style w:type="character" w:customStyle="1" w:styleId="EndNoteBibliographyCarter">
    <w:name w:val="EndNote Bibliography Caráter"/>
    <w:basedOn w:val="TAMainTextCarter"/>
    <w:link w:val="EndNoteBibliography"/>
    <w:rsid w:val="00E72A33"/>
    <w:rPr>
      <w:rFonts w:ascii="Times New Roman" w:hAnsi="Times New Roman"/>
      <w:noProof/>
      <w:sz w:val="24"/>
    </w:rPr>
  </w:style>
  <w:style w:type="character" w:styleId="PlaceholderText">
    <w:name w:val="Placeholder Text"/>
    <w:basedOn w:val="DefaultParagraphFont"/>
    <w:uiPriority w:val="99"/>
    <w:semiHidden/>
    <w:rsid w:val="008B3947"/>
    <w:rPr>
      <w:color w:val="808080"/>
    </w:rPr>
  </w:style>
  <w:style w:type="character" w:customStyle="1" w:styleId="VDTableTitleCarter">
    <w:name w:val="VD_Table_Title Caráter"/>
    <w:basedOn w:val="DefaultParagraphFont"/>
    <w:link w:val="VDTableTitle"/>
    <w:rsid w:val="00A26406"/>
    <w:rPr>
      <w:rFonts w:ascii="Times" w:hAnsi="Times"/>
      <w:sz w:val="24"/>
    </w:rPr>
  </w:style>
  <w:style w:type="character" w:customStyle="1" w:styleId="BodyTextChar">
    <w:name w:val="Body Text Char"/>
    <w:basedOn w:val="DefaultParagraphFont"/>
    <w:link w:val="BodyText"/>
    <w:rsid w:val="005E41F9"/>
    <w:rPr>
      <w:rFonts w:ascii="Times" w:hAnsi="Times"/>
      <w:b/>
      <w:sz w:val="40"/>
    </w:rPr>
  </w:style>
  <w:style w:type="character" w:customStyle="1" w:styleId="FootnoteTextChar">
    <w:name w:val="Footnote Text Char"/>
    <w:basedOn w:val="DefaultParagraphFont"/>
    <w:link w:val="FootnoteText"/>
    <w:semiHidden/>
    <w:rsid w:val="005E41F9"/>
    <w:rPr>
      <w:rFonts w:ascii="Times" w:hAnsi="Times"/>
      <w:sz w:val="24"/>
    </w:rPr>
  </w:style>
  <w:style w:type="character" w:customStyle="1" w:styleId="FooterChar">
    <w:name w:val="Footer Char"/>
    <w:basedOn w:val="DefaultParagraphFont"/>
    <w:link w:val="Footer"/>
    <w:rsid w:val="005E41F9"/>
    <w:rPr>
      <w:rFonts w:ascii="Times" w:hAnsi="Times"/>
      <w:sz w:val="24"/>
    </w:rPr>
  </w:style>
  <w:style w:type="character" w:customStyle="1" w:styleId="BalloonTextChar">
    <w:name w:val="Balloon Text Char"/>
    <w:basedOn w:val="DefaultParagraphFont"/>
    <w:link w:val="BalloonText"/>
    <w:semiHidden/>
    <w:rsid w:val="005E41F9"/>
    <w:rPr>
      <w:rFonts w:ascii="Tahoma" w:hAnsi="Tahoma" w:cs="Tahoma"/>
      <w:sz w:val="16"/>
      <w:szCs w:val="16"/>
    </w:rPr>
  </w:style>
  <w:style w:type="table" w:styleId="TableGrid">
    <w:name w:val="Table Grid"/>
    <w:basedOn w:val="TableNormal"/>
    <w:rsid w:val="00D032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138045">
      <w:bodyDiv w:val="1"/>
      <w:marLeft w:val="0"/>
      <w:marRight w:val="0"/>
      <w:marTop w:val="0"/>
      <w:marBottom w:val="0"/>
      <w:divBdr>
        <w:top w:val="none" w:sz="0" w:space="0" w:color="auto"/>
        <w:left w:val="none" w:sz="0" w:space="0" w:color="auto"/>
        <w:bottom w:val="none" w:sz="0" w:space="0" w:color="auto"/>
        <w:right w:val="none" w:sz="0" w:space="0" w:color="auto"/>
      </w:divBdr>
    </w:div>
    <w:div w:id="499472261">
      <w:bodyDiv w:val="1"/>
      <w:marLeft w:val="0"/>
      <w:marRight w:val="0"/>
      <w:marTop w:val="0"/>
      <w:marBottom w:val="0"/>
      <w:divBdr>
        <w:top w:val="none" w:sz="0" w:space="0" w:color="auto"/>
        <w:left w:val="none" w:sz="0" w:space="0" w:color="auto"/>
        <w:bottom w:val="none" w:sz="0" w:space="0" w:color="auto"/>
        <w:right w:val="none" w:sz="0" w:space="0" w:color="auto"/>
      </w:divBdr>
    </w:div>
    <w:div w:id="689374310">
      <w:bodyDiv w:val="1"/>
      <w:marLeft w:val="0"/>
      <w:marRight w:val="0"/>
      <w:marTop w:val="0"/>
      <w:marBottom w:val="0"/>
      <w:divBdr>
        <w:top w:val="none" w:sz="0" w:space="0" w:color="auto"/>
        <w:left w:val="none" w:sz="0" w:space="0" w:color="auto"/>
        <w:bottom w:val="none" w:sz="0" w:space="0" w:color="auto"/>
        <w:right w:val="none" w:sz="0" w:space="0" w:color="auto"/>
      </w:divBdr>
    </w:div>
    <w:div w:id="1141776771">
      <w:bodyDiv w:val="1"/>
      <w:marLeft w:val="0"/>
      <w:marRight w:val="0"/>
      <w:marTop w:val="0"/>
      <w:marBottom w:val="0"/>
      <w:divBdr>
        <w:top w:val="none" w:sz="0" w:space="0" w:color="auto"/>
        <w:left w:val="none" w:sz="0" w:space="0" w:color="auto"/>
        <w:bottom w:val="none" w:sz="0" w:space="0" w:color="auto"/>
        <w:right w:val="none" w:sz="0" w:space="0" w:color="auto"/>
      </w:divBdr>
    </w:div>
    <w:div w:id="1283221147">
      <w:bodyDiv w:val="1"/>
      <w:marLeft w:val="0"/>
      <w:marRight w:val="0"/>
      <w:marTop w:val="0"/>
      <w:marBottom w:val="0"/>
      <w:divBdr>
        <w:top w:val="none" w:sz="0" w:space="0" w:color="auto"/>
        <w:left w:val="none" w:sz="0" w:space="0" w:color="auto"/>
        <w:bottom w:val="none" w:sz="0" w:space="0" w:color="auto"/>
        <w:right w:val="none" w:sz="0" w:space="0" w:color="auto"/>
      </w:divBdr>
    </w:div>
    <w:div w:id="1472601382">
      <w:bodyDiv w:val="1"/>
      <w:marLeft w:val="0"/>
      <w:marRight w:val="0"/>
      <w:marTop w:val="0"/>
      <w:marBottom w:val="0"/>
      <w:divBdr>
        <w:top w:val="none" w:sz="0" w:space="0" w:color="auto"/>
        <w:left w:val="none" w:sz="0" w:space="0" w:color="auto"/>
        <w:bottom w:val="none" w:sz="0" w:space="0" w:color="auto"/>
        <w:right w:val="none" w:sz="0" w:space="0" w:color="auto"/>
      </w:divBdr>
    </w:div>
    <w:div w:id="1482963464">
      <w:bodyDiv w:val="1"/>
      <w:marLeft w:val="0"/>
      <w:marRight w:val="0"/>
      <w:marTop w:val="0"/>
      <w:marBottom w:val="0"/>
      <w:divBdr>
        <w:top w:val="none" w:sz="0" w:space="0" w:color="auto"/>
        <w:left w:val="none" w:sz="0" w:space="0" w:color="auto"/>
        <w:bottom w:val="none" w:sz="0" w:space="0" w:color="auto"/>
        <w:right w:val="none" w:sz="0" w:space="0" w:color="auto"/>
      </w:divBdr>
    </w:div>
    <w:div w:id="1668170585">
      <w:bodyDiv w:val="1"/>
      <w:marLeft w:val="0"/>
      <w:marRight w:val="0"/>
      <w:marTop w:val="0"/>
      <w:marBottom w:val="0"/>
      <w:divBdr>
        <w:top w:val="none" w:sz="0" w:space="0" w:color="auto"/>
        <w:left w:val="none" w:sz="0" w:space="0" w:color="auto"/>
        <w:bottom w:val="none" w:sz="0" w:space="0" w:color="auto"/>
        <w:right w:val="none" w:sz="0" w:space="0" w:color="auto"/>
      </w:divBdr>
    </w:div>
    <w:div w:id="1845975765">
      <w:bodyDiv w:val="1"/>
      <w:marLeft w:val="0"/>
      <w:marRight w:val="0"/>
      <w:marTop w:val="0"/>
      <w:marBottom w:val="0"/>
      <w:divBdr>
        <w:top w:val="none" w:sz="0" w:space="0" w:color="auto"/>
        <w:left w:val="none" w:sz="0" w:space="0" w:color="auto"/>
        <w:bottom w:val="none" w:sz="0" w:space="0" w:color="auto"/>
        <w:right w:val="none" w:sz="0" w:space="0" w:color="auto"/>
      </w:divBdr>
    </w:div>
    <w:div w:id="1885629807">
      <w:bodyDiv w:val="1"/>
      <w:marLeft w:val="0"/>
      <w:marRight w:val="0"/>
      <w:marTop w:val="0"/>
      <w:marBottom w:val="0"/>
      <w:divBdr>
        <w:top w:val="none" w:sz="0" w:space="0" w:color="auto"/>
        <w:left w:val="none" w:sz="0" w:space="0" w:color="auto"/>
        <w:bottom w:val="none" w:sz="0" w:space="0" w:color="auto"/>
        <w:right w:val="none" w:sz="0" w:space="0" w:color="auto"/>
      </w:divBdr>
    </w:div>
    <w:div w:id="1906255223">
      <w:bodyDiv w:val="1"/>
      <w:marLeft w:val="0"/>
      <w:marRight w:val="0"/>
      <w:marTop w:val="0"/>
      <w:marBottom w:val="0"/>
      <w:divBdr>
        <w:top w:val="none" w:sz="0" w:space="0" w:color="auto"/>
        <w:left w:val="none" w:sz="0" w:space="0" w:color="auto"/>
        <w:bottom w:val="none" w:sz="0" w:space="0" w:color="auto"/>
        <w:right w:val="none" w:sz="0" w:space="0" w:color="auto"/>
      </w:divBdr>
    </w:div>
    <w:div w:id="1972636366">
      <w:bodyDiv w:val="1"/>
      <w:marLeft w:val="0"/>
      <w:marRight w:val="0"/>
      <w:marTop w:val="0"/>
      <w:marBottom w:val="0"/>
      <w:divBdr>
        <w:top w:val="none" w:sz="0" w:space="0" w:color="auto"/>
        <w:left w:val="none" w:sz="0" w:space="0" w:color="auto"/>
        <w:bottom w:val="none" w:sz="0" w:space="0" w:color="auto"/>
        <w:right w:val="none" w:sz="0" w:space="0" w:color="auto"/>
      </w:divBdr>
    </w:div>
    <w:div w:id="1994749403">
      <w:bodyDiv w:val="1"/>
      <w:marLeft w:val="0"/>
      <w:marRight w:val="0"/>
      <w:marTop w:val="0"/>
      <w:marBottom w:val="0"/>
      <w:divBdr>
        <w:top w:val="none" w:sz="0" w:space="0" w:color="auto"/>
        <w:left w:val="none" w:sz="0" w:space="0" w:color="auto"/>
        <w:bottom w:val="none" w:sz="0" w:space="0" w:color="auto"/>
        <w:right w:val="none" w:sz="0" w:space="0" w:color="auto"/>
      </w:divBdr>
    </w:div>
    <w:div w:id="2079588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n&#234;s%20Sim&#245;es\Downloads\acstemplate_msw20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84A5E0-5445-4D5D-B1A8-6AD0DBB3F1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acstemplate_msw2010</Template>
  <TotalTime>272</TotalTime>
  <Pages>10</Pages>
  <Words>3353</Words>
  <Characters>19117</Characters>
  <Application>Microsoft Office Word</Application>
  <DocSecurity>0</DocSecurity>
  <Lines>159</Lines>
  <Paragraphs>44</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Template for Electronic Submission to ACS Journals</vt:lpstr>
      <vt:lpstr>Template for Electronic Submission to ACS Journals</vt:lpstr>
    </vt:vector>
  </TitlesOfParts>
  <Company>ACS</Company>
  <LinksUpToDate>false</LinksUpToDate>
  <CharactersWithSpaces>22426</CharactersWithSpaces>
  <SharedDoc>false</SharedDoc>
  <HLinks>
    <vt:vector size="6" baseType="variant">
      <vt:variant>
        <vt:i4>4849748</vt:i4>
      </vt:variant>
      <vt:variant>
        <vt:i4>0</vt:i4>
      </vt:variant>
      <vt:variant>
        <vt:i4>0</vt:i4>
      </vt:variant>
      <vt:variant>
        <vt:i4>5</vt:i4>
      </vt:variant>
      <vt:variant>
        <vt:lpwstr>http://pubs.acs.org/page/4authors/index.html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for Electronic Submission to ACS Journals</dc:title>
  <dc:creator>Inês Simões</dc:creator>
  <cp:lastModifiedBy>João Coimbra</cp:lastModifiedBy>
  <cp:revision>21</cp:revision>
  <cp:lastPrinted>2017-10-09T15:14:00Z</cp:lastPrinted>
  <dcterms:created xsi:type="dcterms:W3CDTF">2017-09-12T14:07:00Z</dcterms:created>
  <dcterms:modified xsi:type="dcterms:W3CDTF">2018-06-14T11:39:00Z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Citation Style_1">
    <vt:lpwstr>http://www.zotero.org/styles/physical-chemistry-chemical-physics</vt:lpwstr>
  </property>
  <property fmtid="{D5CDD505-2E9C-101B-9397-08002B2CF9AE}" pid="4" name="Mendeley Unique User Id_1">
    <vt:lpwstr>59a3a2d5-4f4f-3716-9fee-e912c723e16b</vt:lpwstr>
  </property>
  <property fmtid="{D5CDD505-2E9C-101B-9397-08002B2CF9AE}" pid="5" name="Mendeley Recent Style Id 0_1">
    <vt:lpwstr>http://www.zotero.org/styles/american-chemical-society</vt:lpwstr>
  </property>
  <property fmtid="{D5CDD505-2E9C-101B-9397-08002B2CF9AE}" pid="6" name="Mendeley Recent Style Name 0_1">
    <vt:lpwstr>American Chemical Society</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http://www.zotero.org/styles/physical-chemistry-chemical-physics</vt:lpwstr>
  </property>
  <property fmtid="{D5CDD505-2E9C-101B-9397-08002B2CF9AE}" pid="24" name="Mendeley Recent Style Name 9_1">
    <vt:lpwstr>Physical Chemistry Chemical Physics</vt:lpwstr>
  </property>
</Properties>
</file>