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320E6" w14:textId="77777777" w:rsidR="00B636FD" w:rsidRDefault="00B636FD"/>
    <w:p w14:paraId="75506659" w14:textId="77777777" w:rsidR="00B636FD" w:rsidRDefault="00B636FD"/>
    <w:p w14:paraId="5CF4F4F8" w14:textId="77777777" w:rsidR="00B636FD" w:rsidRPr="00B636FD" w:rsidRDefault="00B636FD" w:rsidP="004518EE">
      <w:pPr>
        <w:tabs>
          <w:tab w:val="left" w:pos="284"/>
        </w:tabs>
        <w:spacing w:before="400" w:after="160"/>
        <w:jc w:val="center"/>
        <w:rPr>
          <w:rFonts w:ascii="Calibri" w:eastAsia="Calibri" w:hAnsi="Calibri" w:cs="Times New Roman"/>
          <w:b/>
          <w:sz w:val="29"/>
          <w:szCs w:val="32"/>
        </w:rPr>
      </w:pPr>
      <w:r w:rsidRPr="00B636FD">
        <w:rPr>
          <w:rFonts w:ascii="Calibri" w:eastAsia="Calibri" w:hAnsi="Calibri" w:cs="Times New Roman"/>
          <w:b/>
          <w:sz w:val="29"/>
          <w:szCs w:val="32"/>
        </w:rPr>
        <w:t>Consequential life cycle assessment of carbon capture and utilization technologies within the chemical industry</w:t>
      </w:r>
    </w:p>
    <w:p w14:paraId="3C66C442" w14:textId="77777777" w:rsidR="00B636FD" w:rsidRPr="00B636FD" w:rsidRDefault="00B636FD" w:rsidP="004518EE">
      <w:pPr>
        <w:spacing w:after="200" w:line="240" w:lineRule="exact"/>
        <w:jc w:val="center"/>
        <w:rPr>
          <w:rFonts w:ascii="Calibri" w:eastAsia="Calibri" w:hAnsi="Calibri" w:cs="Times New Roman"/>
          <w:noProof/>
          <w:sz w:val="20"/>
          <w:szCs w:val="22"/>
          <w:lang w:eastAsia="en-GB"/>
        </w:rPr>
      </w:pPr>
      <w:r w:rsidRPr="00B636FD">
        <w:rPr>
          <w:rFonts w:ascii="Calibri" w:eastAsia="Calibri" w:hAnsi="Calibri" w:cs="Times New Roman"/>
          <w:noProof/>
          <w:sz w:val="20"/>
          <w:szCs w:val="22"/>
          <w:lang w:eastAsia="en-GB"/>
        </w:rPr>
        <w:t>Nils Thonemann*</w:t>
      </w:r>
      <w:r w:rsidRPr="00B636FD">
        <w:rPr>
          <w:rFonts w:ascii="Calibri" w:eastAsia="Calibri" w:hAnsi="Calibri" w:cs="Times New Roman"/>
          <w:noProof/>
          <w:sz w:val="20"/>
          <w:szCs w:val="22"/>
          <w:vertAlign w:val="superscript"/>
          <w:lang w:eastAsia="en-GB"/>
        </w:rPr>
        <w:t>a</w:t>
      </w:r>
      <w:r w:rsidRPr="00B636FD">
        <w:rPr>
          <w:rFonts w:ascii="Calibri" w:eastAsia="Calibri" w:hAnsi="Calibri" w:cs="Times New Roman"/>
          <w:noProof/>
          <w:sz w:val="20"/>
          <w:szCs w:val="22"/>
          <w:lang w:eastAsia="en-GB"/>
        </w:rPr>
        <w:t xml:space="preserve"> and Massimo Pizzol</w:t>
      </w:r>
      <w:r w:rsidRPr="00B636FD">
        <w:rPr>
          <w:rFonts w:ascii="Calibri" w:eastAsia="Calibri" w:hAnsi="Calibri" w:cs="Times New Roman"/>
          <w:noProof/>
          <w:sz w:val="20"/>
          <w:szCs w:val="22"/>
          <w:vertAlign w:val="superscript"/>
          <w:lang w:eastAsia="en-GB"/>
        </w:rPr>
        <w:t>b</w:t>
      </w:r>
    </w:p>
    <w:p w14:paraId="19CE9A54" w14:textId="77777777" w:rsidR="004518EE" w:rsidRDefault="004518EE" w:rsidP="004518EE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22"/>
          <w:u w:val="single"/>
          <w:lang w:val="en-US"/>
        </w:rPr>
      </w:pPr>
    </w:p>
    <w:p w14:paraId="160C464F" w14:textId="4534E8AA" w:rsidR="00B636FD" w:rsidRPr="00B636FD" w:rsidRDefault="00B636FD" w:rsidP="004518EE">
      <w:pPr>
        <w:jc w:val="center"/>
        <w:rPr>
          <w:rFonts w:ascii="Calibri (Body)" w:eastAsia="Times New Roman" w:hAnsi="Calibri (Body)" w:cs="Calibri"/>
          <w:color w:val="000000"/>
          <w:sz w:val="42"/>
          <w:szCs w:val="22"/>
          <w:lang w:val="da-DK"/>
        </w:rPr>
      </w:pPr>
      <w:r w:rsidRPr="002C2948">
        <w:rPr>
          <w:rFonts w:ascii="Calibri" w:eastAsia="Times New Roman" w:hAnsi="Calibri" w:cs="Calibri"/>
          <w:b/>
          <w:bCs/>
          <w:color w:val="000000"/>
          <w:sz w:val="72"/>
          <w:szCs w:val="22"/>
          <w:u w:val="single"/>
          <w:lang w:val="en-US"/>
        </w:rPr>
        <w:t>Electronic Supporting Information:</w:t>
      </w:r>
    </w:p>
    <w:p w14:paraId="6C3B40A7" w14:textId="308A5390" w:rsidR="00B636FD" w:rsidRDefault="00B636FD"/>
    <w:p w14:paraId="45B4766F" w14:textId="56B33532" w:rsidR="00B636FD" w:rsidRDefault="00B636FD">
      <w:r>
        <w:br w:type="page"/>
      </w:r>
    </w:p>
    <w:tbl>
      <w:tblPr>
        <w:tblStyle w:val="Tabellenraster"/>
        <w:tblW w:w="5156" w:type="pct"/>
        <w:tblLook w:val="04A0" w:firstRow="1" w:lastRow="0" w:firstColumn="1" w:lastColumn="0" w:noHBand="0" w:noVBand="1"/>
      </w:tblPr>
      <w:tblGrid>
        <w:gridCol w:w="3006"/>
        <w:gridCol w:w="3247"/>
        <w:gridCol w:w="9617"/>
      </w:tblGrid>
      <w:tr w:rsidR="00B636FD" w:rsidRPr="002C2948" w14:paraId="0FED7643" w14:textId="77777777" w:rsidTr="00314025">
        <w:trPr>
          <w:trHeight w:val="320"/>
        </w:trPr>
        <w:tc>
          <w:tcPr>
            <w:tcW w:w="947" w:type="pct"/>
          </w:tcPr>
          <w:p w14:paraId="48770A8C" w14:textId="76CD40F2" w:rsidR="00B636FD" w:rsidRPr="002C2948" w:rsidRDefault="00EA178B" w:rsidP="00B45077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  <w:lastRenderedPageBreak/>
              <w:t>File</w:t>
            </w:r>
            <w:bookmarkStart w:id="0" w:name="_GoBack"/>
            <w:bookmarkEnd w:id="0"/>
            <w:r w:rsidR="00B636F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  <w:t xml:space="preserve"> name</w:t>
            </w:r>
          </w:p>
        </w:tc>
        <w:tc>
          <w:tcPr>
            <w:tcW w:w="1023" w:type="pct"/>
            <w:hideMark/>
          </w:tcPr>
          <w:p w14:paraId="0E988183" w14:textId="3A1165B1" w:rsidR="00B636FD" w:rsidRPr="002C2948" w:rsidRDefault="00B636FD" w:rsidP="00B45077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  <w:t>Sheet name</w:t>
            </w:r>
          </w:p>
        </w:tc>
        <w:tc>
          <w:tcPr>
            <w:tcW w:w="3030" w:type="pct"/>
            <w:hideMark/>
          </w:tcPr>
          <w:p w14:paraId="0BAD3C42" w14:textId="77777777" w:rsidR="00B636FD" w:rsidRPr="002C2948" w:rsidRDefault="00B636FD" w:rsidP="00B45077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  <w:t>Description</w:t>
            </w:r>
          </w:p>
        </w:tc>
      </w:tr>
      <w:tr w:rsidR="00B636FD" w:rsidRPr="002C2948" w14:paraId="3FF16FC3" w14:textId="77777777" w:rsidTr="00314025">
        <w:trPr>
          <w:trHeight w:val="640"/>
        </w:trPr>
        <w:tc>
          <w:tcPr>
            <w:tcW w:w="947" w:type="pct"/>
          </w:tcPr>
          <w:p w14:paraId="38A02FC3" w14:textId="261F0A49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CCU-LCI.xlsx</w:t>
            </w:r>
          </w:p>
        </w:tc>
        <w:tc>
          <w:tcPr>
            <w:tcW w:w="1023" w:type="pct"/>
            <w:hideMark/>
          </w:tcPr>
          <w:p w14:paraId="23DEAA5B" w14:textId="19DC6F22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LCI_CCU_2018_near_term</w:t>
            </w:r>
          </w:p>
        </w:tc>
        <w:tc>
          <w:tcPr>
            <w:tcW w:w="3030" w:type="pct"/>
            <w:hideMark/>
          </w:tcPr>
          <w:p w14:paraId="303A1982" w14:textId="772C9DC9" w:rsidR="00B636FD" w:rsidRPr="002C2948" w:rsidRDefault="00B636FD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Includes the foreground system of each alternative under analyses in the near term scenario, in </w:t>
            </w:r>
            <w:r w:rsid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matrix format, </w:t>
            </w:r>
            <w:r w:rsid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also includes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the links with the background system and the names of the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ecoinvent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3 datasets used in the analysis.</w:t>
            </w:r>
          </w:p>
        </w:tc>
      </w:tr>
      <w:tr w:rsidR="00B636FD" w:rsidRPr="002C2948" w14:paraId="636C6557" w14:textId="77777777" w:rsidTr="00314025">
        <w:trPr>
          <w:trHeight w:val="640"/>
        </w:trPr>
        <w:tc>
          <w:tcPr>
            <w:tcW w:w="947" w:type="pct"/>
          </w:tcPr>
          <w:p w14:paraId="00A4C09F" w14:textId="4725F1FE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CCU-LCI.xlsx</w:t>
            </w:r>
          </w:p>
        </w:tc>
        <w:tc>
          <w:tcPr>
            <w:tcW w:w="1023" w:type="pct"/>
            <w:hideMark/>
          </w:tcPr>
          <w:p w14:paraId="2C595605" w14:textId="74551F75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LCI_CCU_2018_long_term</w:t>
            </w:r>
          </w:p>
        </w:tc>
        <w:tc>
          <w:tcPr>
            <w:tcW w:w="3030" w:type="pct"/>
            <w:hideMark/>
          </w:tcPr>
          <w:p w14:paraId="7A45D0E9" w14:textId="242826C8" w:rsidR="00B636FD" w:rsidRPr="002C2948" w:rsidRDefault="00B636FD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Includes the foreground system of each alternative under analyses in the long term scenario, in </w:t>
            </w:r>
            <w:r w:rsid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matrix format, </w:t>
            </w:r>
            <w:r w:rsid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also includes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the links with the background system and the names of the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ecoinvent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3 datasets used in the analysis.</w:t>
            </w:r>
          </w:p>
        </w:tc>
      </w:tr>
      <w:tr w:rsidR="00B636FD" w:rsidRPr="002C2948" w14:paraId="41923FA5" w14:textId="77777777" w:rsidTr="00314025">
        <w:trPr>
          <w:trHeight w:val="320"/>
        </w:trPr>
        <w:tc>
          <w:tcPr>
            <w:tcW w:w="947" w:type="pct"/>
          </w:tcPr>
          <w:p w14:paraId="45F5C70A" w14:textId="3BEC0F39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CCU-LCIA.xlsx</w:t>
            </w:r>
          </w:p>
        </w:tc>
        <w:tc>
          <w:tcPr>
            <w:tcW w:w="1023" w:type="pct"/>
            <w:hideMark/>
          </w:tcPr>
          <w:p w14:paraId="5078AD9F" w14:textId="4B7E43A4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LCIA</w:t>
            </w:r>
          </w:p>
        </w:tc>
        <w:tc>
          <w:tcPr>
            <w:tcW w:w="3030" w:type="pct"/>
            <w:hideMark/>
          </w:tcPr>
          <w:p w14:paraId="40A97FA2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life cycle impact assessment results of the alternatives for 15 impact categories</w:t>
            </w:r>
          </w:p>
        </w:tc>
      </w:tr>
      <w:tr w:rsidR="00B636FD" w:rsidRPr="002C2948" w14:paraId="47B4EB1C" w14:textId="77777777" w:rsidTr="00314025">
        <w:trPr>
          <w:trHeight w:val="320"/>
        </w:trPr>
        <w:tc>
          <w:tcPr>
            <w:tcW w:w="947" w:type="pct"/>
          </w:tcPr>
          <w:p w14:paraId="6DFC0A45" w14:textId="4B223D1A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CCU-LCIA.xlsx</w:t>
            </w:r>
          </w:p>
        </w:tc>
        <w:tc>
          <w:tcPr>
            <w:tcW w:w="1023" w:type="pct"/>
            <w:hideMark/>
          </w:tcPr>
          <w:p w14:paraId="22A075F5" w14:textId="00E1B57C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Correlation_Analysis</w:t>
            </w:r>
          </w:p>
        </w:tc>
        <w:tc>
          <w:tcPr>
            <w:tcW w:w="3030" w:type="pct"/>
            <w:hideMark/>
          </w:tcPr>
          <w:p w14:paraId="00DA09C1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an analysis of the coefficient of determination for each alternative comparing the GWP values with the values of the other impact categories</w:t>
            </w:r>
          </w:p>
        </w:tc>
      </w:tr>
      <w:tr w:rsidR="00B636FD" w:rsidRPr="002C2948" w14:paraId="2C67B868" w14:textId="77777777" w:rsidTr="00314025">
        <w:trPr>
          <w:trHeight w:val="320"/>
        </w:trPr>
        <w:tc>
          <w:tcPr>
            <w:tcW w:w="947" w:type="pct"/>
          </w:tcPr>
          <w:p w14:paraId="4B7A2388" w14:textId="7B8EF4F2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CCU-LCIA.xlsx</w:t>
            </w:r>
          </w:p>
        </w:tc>
        <w:tc>
          <w:tcPr>
            <w:tcW w:w="1023" w:type="pct"/>
            <w:hideMark/>
          </w:tcPr>
          <w:p w14:paraId="02AC5B48" w14:textId="7922EA0E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Contribution_Analysis_near_term</w:t>
            </w:r>
          </w:p>
        </w:tc>
        <w:tc>
          <w:tcPr>
            <w:tcW w:w="3030" w:type="pct"/>
            <w:hideMark/>
          </w:tcPr>
          <w:p w14:paraId="29368A63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absolute and relative contribution values for each process within the alternatives for the near term scenario</w:t>
            </w:r>
          </w:p>
        </w:tc>
      </w:tr>
      <w:tr w:rsidR="00B636FD" w:rsidRPr="002C2948" w14:paraId="454A0C52" w14:textId="77777777" w:rsidTr="00314025">
        <w:trPr>
          <w:trHeight w:val="320"/>
        </w:trPr>
        <w:tc>
          <w:tcPr>
            <w:tcW w:w="947" w:type="pct"/>
          </w:tcPr>
          <w:p w14:paraId="6F53FBD1" w14:textId="3657D456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CCU-LCIA.xlsx</w:t>
            </w:r>
          </w:p>
        </w:tc>
        <w:tc>
          <w:tcPr>
            <w:tcW w:w="1023" w:type="pct"/>
            <w:hideMark/>
          </w:tcPr>
          <w:p w14:paraId="221A405B" w14:textId="27B1E968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Contribution_Analysis_long_term</w:t>
            </w:r>
          </w:p>
        </w:tc>
        <w:tc>
          <w:tcPr>
            <w:tcW w:w="3030" w:type="pct"/>
            <w:hideMark/>
          </w:tcPr>
          <w:p w14:paraId="64239CFA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absolute and relative contribution values for each process within the alternatives for the long term scenario</w:t>
            </w:r>
          </w:p>
        </w:tc>
      </w:tr>
      <w:tr w:rsidR="00B636FD" w:rsidRPr="002C2948" w14:paraId="5A9BAD47" w14:textId="77777777" w:rsidTr="00314025">
        <w:trPr>
          <w:trHeight w:val="320"/>
        </w:trPr>
        <w:tc>
          <w:tcPr>
            <w:tcW w:w="947" w:type="pct"/>
          </w:tcPr>
          <w:p w14:paraId="3AA836FB" w14:textId="6279BAC9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CCU-LCIA.xlsx</w:t>
            </w:r>
          </w:p>
        </w:tc>
        <w:tc>
          <w:tcPr>
            <w:tcW w:w="1023" w:type="pct"/>
            <w:hideMark/>
          </w:tcPr>
          <w:p w14:paraId="44C7760A" w14:textId="03F0743F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Ranking</w:t>
            </w:r>
          </w:p>
        </w:tc>
        <w:tc>
          <w:tcPr>
            <w:tcW w:w="3030" w:type="pct"/>
            <w:hideMark/>
          </w:tcPr>
          <w:p w14:paraId="330825B7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Ranking of the alternatives in each impact category for the near and long term scenario as well as the deviation between the near and long term scenario</w:t>
            </w:r>
          </w:p>
        </w:tc>
      </w:tr>
      <w:tr w:rsidR="00B636FD" w:rsidRPr="002C2948" w14:paraId="7913E507" w14:textId="77777777" w:rsidTr="00314025">
        <w:trPr>
          <w:trHeight w:val="320"/>
        </w:trPr>
        <w:tc>
          <w:tcPr>
            <w:tcW w:w="947" w:type="pct"/>
          </w:tcPr>
          <w:p w14:paraId="7FF51042" w14:textId="111F0C5B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CCU-SA.xlsx</w:t>
            </w:r>
          </w:p>
        </w:tc>
        <w:tc>
          <w:tcPr>
            <w:tcW w:w="1023" w:type="pct"/>
            <w:hideMark/>
          </w:tcPr>
          <w:p w14:paraId="215367CB" w14:textId="62520775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Sensitivity_Analysis_near_term</w:t>
            </w:r>
          </w:p>
        </w:tc>
        <w:tc>
          <w:tcPr>
            <w:tcW w:w="3030" w:type="pct"/>
            <w:hideMark/>
          </w:tcPr>
          <w:p w14:paraId="17C198E9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results of the sensitivity analysis changing the electricity and heat supplier for each alternative in the near term scenario</w:t>
            </w:r>
          </w:p>
        </w:tc>
      </w:tr>
      <w:tr w:rsidR="00B636FD" w:rsidRPr="002C2948" w14:paraId="32BADA6E" w14:textId="77777777" w:rsidTr="00314025">
        <w:trPr>
          <w:trHeight w:val="320"/>
        </w:trPr>
        <w:tc>
          <w:tcPr>
            <w:tcW w:w="947" w:type="pct"/>
          </w:tcPr>
          <w:p w14:paraId="2931A005" w14:textId="3F7FDAE8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CCU-SA.xlsx</w:t>
            </w:r>
          </w:p>
        </w:tc>
        <w:tc>
          <w:tcPr>
            <w:tcW w:w="1023" w:type="pct"/>
            <w:hideMark/>
          </w:tcPr>
          <w:p w14:paraId="0B463B34" w14:textId="777D9E5F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Sensitivity_Analysis_long_term</w:t>
            </w:r>
          </w:p>
        </w:tc>
        <w:tc>
          <w:tcPr>
            <w:tcW w:w="3030" w:type="pct"/>
            <w:hideMark/>
          </w:tcPr>
          <w:p w14:paraId="2059DE88" w14:textId="77777777" w:rsidR="00B636FD" w:rsidRPr="002C2948" w:rsidRDefault="00B636FD" w:rsidP="00B4507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results of the sensitivity analysis changing the electricity and heat supplier for each alternative in the long term scenario</w:t>
            </w:r>
          </w:p>
        </w:tc>
      </w:tr>
      <w:tr w:rsidR="00314025" w:rsidRPr="002C2948" w14:paraId="42995761" w14:textId="77777777" w:rsidTr="00314025">
        <w:trPr>
          <w:trHeight w:val="680"/>
        </w:trPr>
        <w:tc>
          <w:tcPr>
            <w:tcW w:w="947" w:type="pct"/>
          </w:tcPr>
          <w:p w14:paraId="1BB7629A" w14:textId="77777777" w:rsidR="00314025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CCU-UA_MCS_n</w:t>
            </w: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t.csv</w:t>
            </w:r>
          </w:p>
          <w:p w14:paraId="4A93655D" w14:textId="6434DC2A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CCU-UA_MCS_l</w:t>
            </w: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t.csv</w:t>
            </w:r>
          </w:p>
        </w:tc>
        <w:tc>
          <w:tcPr>
            <w:tcW w:w="1023" w:type="pct"/>
            <w:hideMark/>
          </w:tcPr>
          <w:p w14:paraId="455A6B54" w14:textId="3328853A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3030" w:type="pct"/>
          </w:tcPr>
          <w:p w14:paraId="38D4464A" w14:textId="0884972C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results of the Monte Carlo simulation (1000 runs) for each run and alternative</w:t>
            </w:r>
          </w:p>
        </w:tc>
      </w:tr>
      <w:tr w:rsidR="00314025" w:rsidRPr="002C2948" w14:paraId="3843A788" w14:textId="77777777" w:rsidTr="00314025">
        <w:trPr>
          <w:trHeight w:val="680"/>
        </w:trPr>
        <w:tc>
          <w:tcPr>
            <w:tcW w:w="947" w:type="pct"/>
          </w:tcPr>
          <w:p w14:paraId="473AB7E4" w14:textId="77777777" w:rsidR="00314025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CCU-UA_MCS_stats_nt.txt</w:t>
            </w:r>
          </w:p>
          <w:p w14:paraId="3DE4361F" w14:textId="4E260BC5" w:rsidR="00314025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CCU-UA_MCS_stats_l</w:t>
            </w: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t.txt</w:t>
            </w:r>
          </w:p>
        </w:tc>
        <w:tc>
          <w:tcPr>
            <w:tcW w:w="1023" w:type="pct"/>
          </w:tcPr>
          <w:p w14:paraId="76FD1155" w14:textId="77777777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3030" w:type="pct"/>
          </w:tcPr>
          <w:p w14:paraId="658EF46B" w14:textId="2D480DF9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statistical data (minimum, 1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en-US"/>
              </w:rPr>
              <w:t>st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quartile, median, mean, 3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en-US"/>
              </w:rPr>
              <w:t>rd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quartile, maximum, standard deviation) from the Monte Carlo simulation (1000 runs) of each alternative for the near and long term scenario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respectively</w:t>
            </w:r>
          </w:p>
        </w:tc>
      </w:tr>
      <w:tr w:rsidR="00314025" w:rsidRPr="002C2948" w14:paraId="7070E957" w14:textId="77777777" w:rsidTr="00314025">
        <w:trPr>
          <w:trHeight w:val="1500"/>
        </w:trPr>
        <w:tc>
          <w:tcPr>
            <w:tcW w:w="947" w:type="pct"/>
          </w:tcPr>
          <w:p w14:paraId="728A4A14" w14:textId="0132A09A" w:rsidR="00314025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CCU-UA_pairwise_diff_n</w:t>
            </w: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t.txt</w:t>
            </w:r>
          </w:p>
          <w:p w14:paraId="29658DC3" w14:textId="7DEFC5F5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CCU-UA_pairwise_diff_lt.txt</w:t>
            </w:r>
          </w:p>
        </w:tc>
        <w:tc>
          <w:tcPr>
            <w:tcW w:w="1023" w:type="pct"/>
          </w:tcPr>
          <w:p w14:paraId="0FB9FD8E" w14:textId="76E927BE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3030" w:type="pct"/>
            <w:hideMark/>
          </w:tcPr>
          <w:p w14:paraId="6D40F7D7" w14:textId="77777777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results of the pairwise differences of values obtained from each iteration of the Monte Carlo simulation. "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BaseRoute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" and "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AltRoute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" are the routes to be compared. "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Percpos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" "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Percneg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" "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Percequ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" indicate the percent of values that are positive, negative, </w:t>
            </w:r>
            <w:proofErr w:type="gram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equal</w:t>
            </w:r>
            <w:proofErr w:type="gram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respectively in the distribution of pairwise differences (Where a positive value of the difference means that the base route performs worse than the alternative route). "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Percscal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" is calculated as median(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BaseRoute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) / median(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BaseRoute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) * 100 and is a measure of the impact of one route compared to the impact of the other</w:t>
            </w:r>
          </w:p>
        </w:tc>
      </w:tr>
      <w:tr w:rsidR="00314025" w:rsidRPr="002C2948" w14:paraId="2A7EBCD4" w14:textId="77777777" w:rsidTr="00314025">
        <w:trPr>
          <w:trHeight w:val="320"/>
        </w:trPr>
        <w:tc>
          <w:tcPr>
            <w:tcW w:w="947" w:type="pct"/>
          </w:tcPr>
          <w:p w14:paraId="197E24FE" w14:textId="77777777" w:rsidR="00314025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CCU-UA_Wilcoxon_test_nt.txt</w:t>
            </w:r>
          </w:p>
          <w:p w14:paraId="630779DE" w14:textId="7F65F49B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CCU-UA_Wilcoxon_test_l</w:t>
            </w:r>
            <w:r w:rsidRPr="003140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t.txt</w:t>
            </w:r>
          </w:p>
        </w:tc>
        <w:tc>
          <w:tcPr>
            <w:tcW w:w="1023" w:type="pct"/>
          </w:tcPr>
          <w:p w14:paraId="36B4A0B9" w14:textId="0661F463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3030" w:type="pct"/>
            <w:hideMark/>
          </w:tcPr>
          <w:p w14:paraId="4A86A542" w14:textId="77777777" w:rsidR="00314025" w:rsidRPr="002C2948" w:rsidRDefault="00314025" w:rsidP="0031402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Includes the results of the pairwise Wilcoxon test for all alternatives</w:t>
            </w:r>
          </w:p>
        </w:tc>
      </w:tr>
    </w:tbl>
    <w:p w14:paraId="7C347053" w14:textId="77777777" w:rsidR="00B636FD" w:rsidRDefault="00B636FD" w:rsidP="00B636FD">
      <w:r>
        <w:t>Table SI.1 Index of SI materials.</w:t>
      </w:r>
    </w:p>
    <w:p w14:paraId="52C8186F" w14:textId="77777777" w:rsidR="00B636FD" w:rsidRDefault="00B636FD"/>
    <w:p w14:paraId="100E36AC" w14:textId="28735972" w:rsidR="00C4549F" w:rsidRDefault="00C4549F">
      <w:r>
        <w:br w:type="page"/>
      </w:r>
    </w:p>
    <w:p w14:paraId="470CC76A" w14:textId="504B0134" w:rsidR="002C2948" w:rsidRDefault="002C2948"/>
    <w:tbl>
      <w:tblPr>
        <w:tblW w:w="5044" w:type="pct"/>
        <w:tblLook w:val="04A0" w:firstRow="1" w:lastRow="0" w:firstColumn="1" w:lastColumn="0" w:noHBand="0" w:noVBand="1"/>
      </w:tblPr>
      <w:tblGrid>
        <w:gridCol w:w="3649"/>
        <w:gridCol w:w="5093"/>
        <w:gridCol w:w="1126"/>
        <w:gridCol w:w="1329"/>
        <w:gridCol w:w="1474"/>
        <w:gridCol w:w="1287"/>
        <w:gridCol w:w="1814"/>
      </w:tblGrid>
      <w:tr w:rsidR="002C2948" w:rsidRPr="002C2948" w14:paraId="27778785" w14:textId="77777777" w:rsidTr="002C2948">
        <w:trPr>
          <w:trHeight w:val="300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7773B3" w14:textId="77777777" w:rsidR="002C2948" w:rsidRPr="002C2948" w:rsidRDefault="002C2948" w:rsidP="002C294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CO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 xml:space="preserve"> utilization technology</w:t>
            </w:r>
          </w:p>
        </w:tc>
        <w:tc>
          <w:tcPr>
            <w:tcW w:w="159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9E6F13" w14:textId="77777777" w:rsidR="002C2948" w:rsidRPr="002C2948" w:rsidRDefault="002C2948" w:rsidP="002C294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Description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17E599" w14:textId="77777777" w:rsidR="002C2948" w:rsidRPr="002C2948" w:rsidRDefault="002C2948" w:rsidP="002C294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Reference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5CFF32E" w14:textId="77777777" w:rsidR="002C2948" w:rsidRPr="002C2948" w:rsidRDefault="002C2948" w:rsidP="002C294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TRL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B0E1F5" w14:textId="77777777" w:rsidR="002C2948" w:rsidRPr="002C2948" w:rsidRDefault="002C2948" w:rsidP="002C294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Purity of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9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96153" w14:textId="77777777" w:rsidR="002C2948" w:rsidRPr="002C2948" w:rsidRDefault="002C2948" w:rsidP="002C294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Reaction</w:t>
            </w:r>
          </w:p>
        </w:tc>
      </w:tr>
      <w:tr w:rsidR="002C2948" w:rsidRPr="002C2948" w14:paraId="74F542C0" w14:textId="77777777" w:rsidTr="002C2948">
        <w:trPr>
          <w:trHeight w:val="30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96AF0B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159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C5F58A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697FFB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5F99A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964A7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D82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Pressure (P)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5CB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Temperature (T)</w:t>
            </w:r>
          </w:p>
        </w:tc>
      </w:tr>
      <w:tr w:rsidR="002C2948" w:rsidRPr="002C2948" w14:paraId="34A05E57" w14:textId="77777777" w:rsidTr="002C2948">
        <w:trPr>
          <w:trHeight w:val="38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A608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Methanol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322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Hydrogenation of pure CO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42928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4,10,17,18-20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ACB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5-9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21-26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93E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8BB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50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997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493 K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27</w:t>
            </w:r>
          </w:p>
        </w:tc>
      </w:tr>
      <w:tr w:rsidR="002C2948" w:rsidRPr="002C2948" w14:paraId="288F93C1" w14:textId="77777777" w:rsidTr="002C2948">
        <w:trPr>
          <w:trHeight w:val="38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04BA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Methane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143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Hydrogen + CO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 xml:space="preserve"> (Sabatier-synthesis)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124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4,7,10,19,20,28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BE0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5-9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21-26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E28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Concentrated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 xml:space="preserve"> source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F46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8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F4AA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280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29</w:t>
            </w:r>
          </w:p>
        </w:tc>
      </w:tr>
      <w:tr w:rsidR="002C2948" w:rsidRPr="002C2948" w14:paraId="3753A656" w14:textId="77777777" w:rsidTr="002C2948">
        <w:trPr>
          <w:trHeight w:val="38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1799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Polyol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232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Propylene Oxide + glycerol +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monopropylene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glycol + CO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199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3,8,30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7729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6-9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23-26,31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69B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469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BC00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135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</w:t>
            </w:r>
          </w:p>
        </w:tc>
      </w:tr>
      <w:tr w:rsidR="002C2948" w:rsidRPr="002C2948" w14:paraId="43147571" w14:textId="77777777" w:rsidTr="002C2948">
        <w:trPr>
          <w:trHeight w:val="38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58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Ethanol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845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Electrochemical reduction of CO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402A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9673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1-5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21,25,26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BE2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F77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82C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temperature</w:t>
            </w:r>
          </w:p>
        </w:tc>
      </w:tr>
      <w:tr w:rsidR="002C2948" w:rsidRPr="002C2948" w14:paraId="37EB3D86" w14:textId="77777777" w:rsidTr="002C2948">
        <w:trPr>
          <w:trHeight w:val="38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3A89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Dimethyl carbonate (DMC)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3C0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Ethylene carbonate transesterification (Asahi process)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194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6,32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AA9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9 (commercial since 1950s)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E3F5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9F9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40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41E4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190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6</w:t>
            </w:r>
          </w:p>
        </w:tc>
      </w:tr>
      <w:tr w:rsidR="002C2948" w:rsidRPr="002C2948" w14:paraId="5D187964" w14:textId="77777777" w:rsidTr="002C2948">
        <w:trPr>
          <w:trHeight w:val="380"/>
        </w:trPr>
        <w:tc>
          <w:tcPr>
            <w:tcW w:w="11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177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Carbon monoxide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3B1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rWGS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CCB69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4,7,10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48F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7-8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2DEA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B243B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A41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850-950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33</w:t>
            </w:r>
          </w:p>
        </w:tc>
      </w:tr>
      <w:tr w:rsidR="002C2948" w:rsidRPr="002C2948" w14:paraId="41E93508" w14:textId="77777777" w:rsidTr="002C2948">
        <w:trPr>
          <w:trHeight w:val="380"/>
        </w:trPr>
        <w:tc>
          <w:tcPr>
            <w:tcW w:w="11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5E14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FC2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DRM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D66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5374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4-7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21,26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A7A8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B95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CFCB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1000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33</w:t>
            </w:r>
          </w:p>
        </w:tc>
      </w:tr>
      <w:tr w:rsidR="002C2948" w:rsidRPr="002C2948" w14:paraId="3AEC08FD" w14:textId="77777777" w:rsidTr="002C2948">
        <w:trPr>
          <w:trHeight w:val="74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414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Dimethyl ether (DME)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3F8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Production from syngas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F0F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8,20,34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0F6B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1-3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26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br/>
              <w:t>&lt;&lt;7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D94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93A6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50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463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160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8</w:t>
            </w:r>
          </w:p>
        </w:tc>
      </w:tr>
      <w:tr w:rsidR="002C2948" w:rsidRPr="002C2948" w14:paraId="7872F296" w14:textId="77777777" w:rsidTr="002C2948">
        <w:trPr>
          <w:trHeight w:val="380"/>
        </w:trPr>
        <w:tc>
          <w:tcPr>
            <w:tcW w:w="11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B26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Formic acid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8AEA" w14:textId="32AC7B61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Electrochemical reduction of </w:t>
            </w:r>
            <w:r w:rsidR="00690C89"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CO</w:t>
            </w:r>
            <w:r w:rsidR="00690C89"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  <w:r w:rsid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 xml:space="preserve"> 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at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low pressure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BF6E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9,35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786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3-7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21,25,26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A65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9184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05A2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 </w:t>
            </w:r>
          </w:p>
        </w:tc>
      </w:tr>
      <w:tr w:rsidR="002C2948" w:rsidRPr="002C2948" w14:paraId="02B5A589" w14:textId="77777777" w:rsidTr="002C2948">
        <w:trPr>
          <w:trHeight w:val="380"/>
        </w:trPr>
        <w:tc>
          <w:tcPr>
            <w:tcW w:w="11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636B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F4A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Hydrogenation of pure CO</w:t>
            </w:r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BE4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10,36,37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3A349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2-5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21,22,26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DF0A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735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105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183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93 °C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36</w:t>
            </w:r>
          </w:p>
        </w:tc>
      </w:tr>
      <w:tr w:rsidR="002C2948" w:rsidRPr="002C2948" w14:paraId="2C737A4D" w14:textId="77777777" w:rsidTr="002C2948">
        <w:trPr>
          <w:trHeight w:val="66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1FD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Fisher-Tropsch products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1F87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Jet fuel production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br/>
              <w:t>Hydrocarbons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48A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11,38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550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5-9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21,25,26,31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CAA2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8CC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20-40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ABF9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 </w:t>
            </w:r>
          </w:p>
        </w:tc>
      </w:tr>
      <w:tr w:rsidR="002C2948" w:rsidRPr="002C2948" w14:paraId="6032B9EC" w14:textId="77777777" w:rsidTr="002C2948">
        <w:trPr>
          <w:trHeight w:val="66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A5C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Dimethoxymethane (DMM) production</w:t>
            </w:r>
          </w:p>
        </w:tc>
        <w:tc>
          <w:tcPr>
            <w:tcW w:w="1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99E9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Condensation reaction from methanol and formaldehyde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br/>
              <w:t>Purely reductive approach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589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12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33D4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4-5 (own assessment)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648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High pure CO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bscript"/>
                <w:lang w:val="da-DK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81898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80 bar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vertAlign w:val="superscript"/>
                <w:lang w:val="da-DK"/>
              </w:rPr>
              <w:t>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2882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 </w:t>
            </w:r>
          </w:p>
        </w:tc>
      </w:tr>
    </w:tbl>
    <w:p w14:paraId="6879FD9B" w14:textId="2B031BB8" w:rsidR="002C2948" w:rsidRDefault="002C2948"/>
    <w:p w14:paraId="240ADA62" w14:textId="0B439E34" w:rsidR="002C2948" w:rsidRPr="002C2948" w:rsidRDefault="002C2948" w:rsidP="002C2948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>
        <w:t>Table SI.2 D</w:t>
      </w:r>
      <w:proofErr w:type="spellStart"/>
      <w:r w:rsidRPr="002C2948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etailed</w:t>
      </w:r>
      <w:proofErr w:type="spellEnd"/>
      <w:r w:rsidRPr="002C2948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description of the investigated CCU technologies stating the data source, technology readiness levels, purity of CO</w:t>
      </w:r>
      <w:r w:rsidRPr="002C2948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/>
        </w:rPr>
        <w:t>2</w:t>
      </w:r>
      <w:r w:rsidRPr="002C2948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needed for the conversion technology, and reaction conditions</w:t>
      </w:r>
    </w:p>
    <w:p w14:paraId="314B37B6" w14:textId="375E06A8" w:rsidR="002C2948" w:rsidRPr="002C2948" w:rsidRDefault="002C2948">
      <w:pPr>
        <w:rPr>
          <w:lang w:val="en-US"/>
        </w:rPr>
      </w:pPr>
    </w:p>
    <w:p w14:paraId="32F3B012" w14:textId="2E204FCF" w:rsidR="002C2948" w:rsidRDefault="002C2948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81"/>
        <w:gridCol w:w="3782"/>
        <w:gridCol w:w="2699"/>
        <w:gridCol w:w="2039"/>
        <w:gridCol w:w="2675"/>
        <w:gridCol w:w="2014"/>
      </w:tblGrid>
      <w:tr w:rsidR="002C2948" w:rsidRPr="002C2948" w14:paraId="23C80C94" w14:textId="77777777" w:rsidTr="002C2948">
        <w:trPr>
          <w:trHeight w:val="340"/>
        </w:trPr>
        <w:tc>
          <w:tcPr>
            <w:tcW w:w="16636" w:type="dxa"/>
            <w:gridSpan w:val="6"/>
            <w:noWrap/>
            <w:hideMark/>
          </w:tcPr>
          <w:p w14:paraId="6D34F5D6" w14:textId="77777777" w:rsidR="002C2948" w:rsidRPr="002C2948" w:rsidRDefault="002C2948" w:rsidP="002C2948">
            <w:r w:rsidRPr="002C2948">
              <w:lastRenderedPageBreak/>
              <w:t>Marginal mixes</w:t>
            </w:r>
            <w:r w:rsidRPr="002C2948">
              <w:rPr>
                <w:vertAlign w:val="superscript"/>
              </w:rPr>
              <w:t>39</w:t>
            </w:r>
          </w:p>
        </w:tc>
      </w:tr>
      <w:tr w:rsidR="002C2948" w:rsidRPr="002C2948" w14:paraId="4C277F1A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4C974ABA" w14:textId="77777777" w:rsidR="002C2948" w:rsidRPr="002C2948" w:rsidRDefault="002C2948">
            <w:r w:rsidRPr="002C2948">
              <w:t xml:space="preserve">Market scenarios </w:t>
            </w:r>
          </w:p>
        </w:tc>
        <w:tc>
          <w:tcPr>
            <w:tcW w:w="4097" w:type="dxa"/>
            <w:noWrap/>
            <w:hideMark/>
          </w:tcPr>
          <w:p w14:paraId="631AADEA" w14:textId="77777777" w:rsidR="002C2948" w:rsidRPr="002C2948" w:rsidRDefault="002C2948">
            <w:r w:rsidRPr="002C2948">
              <w:t xml:space="preserve">Total </w:t>
            </w:r>
            <w:proofErr w:type="spellStart"/>
            <w:r w:rsidRPr="002C2948">
              <w:t>capturable</w:t>
            </w:r>
            <w:proofErr w:type="spellEnd"/>
            <w:r w:rsidRPr="002C2948">
              <w:t xml:space="preserve"> emissions [Mt/year]</w:t>
            </w:r>
          </w:p>
        </w:tc>
        <w:tc>
          <w:tcPr>
            <w:tcW w:w="2918" w:type="dxa"/>
            <w:noWrap/>
            <w:hideMark/>
          </w:tcPr>
          <w:p w14:paraId="118EDCE0" w14:textId="77777777" w:rsidR="002C2948" w:rsidRPr="002C2948" w:rsidRDefault="002C2948">
            <w:r w:rsidRPr="002C2948">
              <w:t>CO</w:t>
            </w:r>
            <w:r w:rsidRPr="00690C89">
              <w:rPr>
                <w:vertAlign w:val="subscript"/>
              </w:rPr>
              <w:t>2</w:t>
            </w:r>
            <w:r w:rsidRPr="002C2948">
              <w:t>_near_term [Mt/year]</w:t>
            </w:r>
          </w:p>
        </w:tc>
        <w:tc>
          <w:tcPr>
            <w:tcW w:w="2200" w:type="dxa"/>
            <w:noWrap/>
            <w:hideMark/>
          </w:tcPr>
          <w:p w14:paraId="30BC424F" w14:textId="77777777" w:rsidR="002C2948" w:rsidRPr="002C2948" w:rsidRDefault="002C2948">
            <w:r w:rsidRPr="002C2948">
              <w:t>CO</w:t>
            </w:r>
            <w:r w:rsidRPr="00690C89">
              <w:rPr>
                <w:vertAlign w:val="subscript"/>
              </w:rPr>
              <w:t>2</w:t>
            </w:r>
            <w:r w:rsidRPr="002C2948">
              <w:t>_near_term [%]</w:t>
            </w:r>
          </w:p>
        </w:tc>
        <w:tc>
          <w:tcPr>
            <w:tcW w:w="2892" w:type="dxa"/>
            <w:noWrap/>
            <w:hideMark/>
          </w:tcPr>
          <w:p w14:paraId="4148AEBC" w14:textId="77777777" w:rsidR="002C2948" w:rsidRPr="002C2948" w:rsidRDefault="002C2948">
            <w:r w:rsidRPr="002C2948">
              <w:t>CO</w:t>
            </w:r>
            <w:r w:rsidRPr="00690C89">
              <w:rPr>
                <w:vertAlign w:val="subscript"/>
              </w:rPr>
              <w:t>2</w:t>
            </w:r>
            <w:r w:rsidRPr="002C2948">
              <w:t>_long_term [Mt/year]</w:t>
            </w:r>
          </w:p>
        </w:tc>
        <w:tc>
          <w:tcPr>
            <w:tcW w:w="2173" w:type="dxa"/>
            <w:noWrap/>
            <w:hideMark/>
          </w:tcPr>
          <w:p w14:paraId="1C643A91" w14:textId="77777777" w:rsidR="002C2948" w:rsidRPr="002C2948" w:rsidRDefault="002C2948">
            <w:r w:rsidRPr="002C2948">
              <w:t>CO</w:t>
            </w:r>
            <w:r w:rsidRPr="00690C89">
              <w:rPr>
                <w:vertAlign w:val="subscript"/>
              </w:rPr>
              <w:t>2</w:t>
            </w:r>
            <w:r w:rsidRPr="002C2948">
              <w:t>_long_term [%]</w:t>
            </w:r>
          </w:p>
        </w:tc>
      </w:tr>
      <w:tr w:rsidR="002C2948" w:rsidRPr="002C2948" w14:paraId="6FA4AE92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2243EBA7" w14:textId="77777777" w:rsidR="002C2948" w:rsidRPr="002C2948" w:rsidRDefault="002C2948">
            <w:r w:rsidRPr="002C2948">
              <w:t>Fermentation</w:t>
            </w:r>
          </w:p>
        </w:tc>
        <w:tc>
          <w:tcPr>
            <w:tcW w:w="4097" w:type="dxa"/>
            <w:noWrap/>
            <w:hideMark/>
          </w:tcPr>
          <w:p w14:paraId="22B42C07" w14:textId="77777777" w:rsidR="002C2948" w:rsidRPr="002C2948" w:rsidRDefault="002C2948" w:rsidP="002C2948">
            <w:r w:rsidRPr="002C2948">
              <w:t>18</w:t>
            </w:r>
          </w:p>
        </w:tc>
        <w:tc>
          <w:tcPr>
            <w:tcW w:w="2918" w:type="dxa"/>
            <w:noWrap/>
            <w:hideMark/>
          </w:tcPr>
          <w:p w14:paraId="7509D185" w14:textId="77777777" w:rsidR="002C2948" w:rsidRPr="002C2948" w:rsidRDefault="002C2948" w:rsidP="002C2948">
            <w:r w:rsidRPr="002C2948">
              <w:t>18</w:t>
            </w:r>
          </w:p>
        </w:tc>
        <w:tc>
          <w:tcPr>
            <w:tcW w:w="2200" w:type="dxa"/>
            <w:noWrap/>
            <w:hideMark/>
          </w:tcPr>
          <w:p w14:paraId="14B7D860" w14:textId="77777777" w:rsidR="002C2948" w:rsidRPr="002C2948" w:rsidRDefault="002C2948" w:rsidP="002C2948">
            <w:r w:rsidRPr="002C2948">
              <w:t>7.20%</w:t>
            </w:r>
          </w:p>
        </w:tc>
        <w:tc>
          <w:tcPr>
            <w:tcW w:w="2892" w:type="dxa"/>
            <w:noWrap/>
            <w:hideMark/>
          </w:tcPr>
          <w:p w14:paraId="6BF4947E" w14:textId="77777777" w:rsidR="002C2948" w:rsidRPr="002C2948" w:rsidRDefault="002C2948" w:rsidP="002C2948"/>
        </w:tc>
        <w:tc>
          <w:tcPr>
            <w:tcW w:w="2173" w:type="dxa"/>
            <w:noWrap/>
            <w:hideMark/>
          </w:tcPr>
          <w:p w14:paraId="20F199C4" w14:textId="77777777" w:rsidR="002C2948" w:rsidRPr="002C2948" w:rsidRDefault="002C2948"/>
        </w:tc>
      </w:tr>
      <w:tr w:rsidR="002C2948" w:rsidRPr="002C2948" w14:paraId="119F4B6C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1BCA03FD" w14:textId="77777777" w:rsidR="002C2948" w:rsidRPr="002C2948" w:rsidRDefault="002C2948">
            <w:r w:rsidRPr="002C2948">
              <w:t>Bioenergy</w:t>
            </w:r>
          </w:p>
        </w:tc>
        <w:tc>
          <w:tcPr>
            <w:tcW w:w="4097" w:type="dxa"/>
            <w:noWrap/>
            <w:hideMark/>
          </w:tcPr>
          <w:p w14:paraId="3007B895" w14:textId="77777777" w:rsidR="002C2948" w:rsidRPr="002C2948" w:rsidRDefault="002C2948" w:rsidP="002C2948">
            <w:r w:rsidRPr="002C2948">
              <w:t>66</w:t>
            </w:r>
          </w:p>
        </w:tc>
        <w:tc>
          <w:tcPr>
            <w:tcW w:w="2918" w:type="dxa"/>
            <w:noWrap/>
            <w:hideMark/>
          </w:tcPr>
          <w:p w14:paraId="33410465" w14:textId="77777777" w:rsidR="002C2948" w:rsidRPr="002C2948" w:rsidRDefault="002C2948" w:rsidP="002C2948">
            <w:r w:rsidRPr="002C2948">
              <w:t>66</w:t>
            </w:r>
          </w:p>
        </w:tc>
        <w:tc>
          <w:tcPr>
            <w:tcW w:w="2200" w:type="dxa"/>
            <w:noWrap/>
            <w:hideMark/>
          </w:tcPr>
          <w:p w14:paraId="60526F7B" w14:textId="77777777" w:rsidR="002C2948" w:rsidRPr="002C2948" w:rsidRDefault="002C2948" w:rsidP="002C2948">
            <w:r w:rsidRPr="002C2948">
              <w:t>26.40%</w:t>
            </w:r>
          </w:p>
        </w:tc>
        <w:tc>
          <w:tcPr>
            <w:tcW w:w="2892" w:type="dxa"/>
            <w:noWrap/>
            <w:hideMark/>
          </w:tcPr>
          <w:p w14:paraId="558BA4E3" w14:textId="77777777" w:rsidR="002C2948" w:rsidRPr="002C2948" w:rsidRDefault="002C2948" w:rsidP="002C2948"/>
        </w:tc>
        <w:tc>
          <w:tcPr>
            <w:tcW w:w="2173" w:type="dxa"/>
            <w:noWrap/>
            <w:hideMark/>
          </w:tcPr>
          <w:p w14:paraId="6941852F" w14:textId="77777777" w:rsidR="002C2948" w:rsidRPr="002C2948" w:rsidRDefault="002C2948"/>
        </w:tc>
      </w:tr>
      <w:tr w:rsidR="002C2948" w:rsidRPr="002C2948" w14:paraId="0335AC89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271D1E91" w14:textId="77777777" w:rsidR="002C2948" w:rsidRPr="002C2948" w:rsidRDefault="002C2948">
            <w:r w:rsidRPr="002C2948">
              <w:t>Hydrogen</w:t>
            </w:r>
          </w:p>
        </w:tc>
        <w:tc>
          <w:tcPr>
            <w:tcW w:w="4097" w:type="dxa"/>
            <w:noWrap/>
            <w:hideMark/>
          </w:tcPr>
          <w:p w14:paraId="232A5A39" w14:textId="77777777" w:rsidR="002C2948" w:rsidRPr="002C2948" w:rsidRDefault="002C2948" w:rsidP="002C2948">
            <w:r w:rsidRPr="002C2948">
              <w:t>46</w:t>
            </w:r>
          </w:p>
        </w:tc>
        <w:tc>
          <w:tcPr>
            <w:tcW w:w="2918" w:type="dxa"/>
            <w:noWrap/>
            <w:hideMark/>
          </w:tcPr>
          <w:p w14:paraId="2AD4035E" w14:textId="77777777" w:rsidR="002C2948" w:rsidRPr="002C2948" w:rsidRDefault="002C2948" w:rsidP="002C2948">
            <w:r w:rsidRPr="002C2948">
              <w:t>46</w:t>
            </w:r>
          </w:p>
        </w:tc>
        <w:tc>
          <w:tcPr>
            <w:tcW w:w="2200" w:type="dxa"/>
            <w:noWrap/>
            <w:hideMark/>
          </w:tcPr>
          <w:p w14:paraId="2291EBA4" w14:textId="77777777" w:rsidR="002C2948" w:rsidRPr="002C2948" w:rsidRDefault="002C2948" w:rsidP="002C2948">
            <w:r w:rsidRPr="002C2948">
              <w:t>18.40%</w:t>
            </w:r>
          </w:p>
        </w:tc>
        <w:tc>
          <w:tcPr>
            <w:tcW w:w="2892" w:type="dxa"/>
            <w:noWrap/>
            <w:hideMark/>
          </w:tcPr>
          <w:p w14:paraId="5309B8C9" w14:textId="77777777" w:rsidR="002C2948" w:rsidRPr="002C2948" w:rsidRDefault="002C2948" w:rsidP="002C2948"/>
        </w:tc>
        <w:tc>
          <w:tcPr>
            <w:tcW w:w="2173" w:type="dxa"/>
            <w:noWrap/>
            <w:hideMark/>
          </w:tcPr>
          <w:p w14:paraId="3702D86D" w14:textId="77777777" w:rsidR="002C2948" w:rsidRPr="002C2948" w:rsidRDefault="002C2948"/>
        </w:tc>
      </w:tr>
      <w:tr w:rsidR="002C2948" w:rsidRPr="002C2948" w14:paraId="139B8295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3D28BC91" w14:textId="77777777" w:rsidR="002C2948" w:rsidRPr="002C2948" w:rsidRDefault="002C2948">
            <w:r w:rsidRPr="002C2948">
              <w:t>Ammonia production</w:t>
            </w:r>
          </w:p>
        </w:tc>
        <w:tc>
          <w:tcPr>
            <w:tcW w:w="4097" w:type="dxa"/>
            <w:noWrap/>
            <w:hideMark/>
          </w:tcPr>
          <w:p w14:paraId="5ED6D461" w14:textId="77777777" w:rsidR="002C2948" w:rsidRPr="002C2948" w:rsidRDefault="002C2948" w:rsidP="002C2948">
            <w:r w:rsidRPr="002C2948">
              <w:t>128</w:t>
            </w:r>
          </w:p>
        </w:tc>
        <w:tc>
          <w:tcPr>
            <w:tcW w:w="2918" w:type="dxa"/>
            <w:noWrap/>
            <w:hideMark/>
          </w:tcPr>
          <w:p w14:paraId="729E6593" w14:textId="77777777" w:rsidR="002C2948" w:rsidRPr="002C2948" w:rsidRDefault="002C2948" w:rsidP="002C2948">
            <w:r w:rsidRPr="002C2948">
              <w:t>120</w:t>
            </w:r>
          </w:p>
        </w:tc>
        <w:tc>
          <w:tcPr>
            <w:tcW w:w="2200" w:type="dxa"/>
            <w:noWrap/>
            <w:hideMark/>
          </w:tcPr>
          <w:p w14:paraId="41ABBE86" w14:textId="77777777" w:rsidR="002C2948" w:rsidRPr="002C2948" w:rsidRDefault="002C2948" w:rsidP="002C2948">
            <w:r w:rsidRPr="002C2948">
              <w:t>48.00%</w:t>
            </w:r>
          </w:p>
        </w:tc>
        <w:tc>
          <w:tcPr>
            <w:tcW w:w="2892" w:type="dxa"/>
            <w:noWrap/>
            <w:hideMark/>
          </w:tcPr>
          <w:p w14:paraId="74B8F9E9" w14:textId="77777777" w:rsidR="002C2948" w:rsidRPr="002C2948" w:rsidRDefault="002C2948" w:rsidP="002C2948">
            <w:r w:rsidRPr="002C2948">
              <w:t>8</w:t>
            </w:r>
          </w:p>
        </w:tc>
        <w:tc>
          <w:tcPr>
            <w:tcW w:w="2173" w:type="dxa"/>
            <w:noWrap/>
            <w:hideMark/>
          </w:tcPr>
          <w:p w14:paraId="77585AAC" w14:textId="77777777" w:rsidR="002C2948" w:rsidRPr="002C2948" w:rsidRDefault="002C2948" w:rsidP="002C2948">
            <w:r w:rsidRPr="002C2948">
              <w:t>0.39%</w:t>
            </w:r>
          </w:p>
        </w:tc>
      </w:tr>
      <w:tr w:rsidR="002C2948" w:rsidRPr="002C2948" w14:paraId="27194DD9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4FED389D" w14:textId="77777777" w:rsidR="002C2948" w:rsidRPr="002C2948" w:rsidRDefault="002C2948">
            <w:r w:rsidRPr="002C2948">
              <w:t>Iron and steel</w:t>
            </w:r>
          </w:p>
        </w:tc>
        <w:tc>
          <w:tcPr>
            <w:tcW w:w="4097" w:type="dxa"/>
            <w:noWrap/>
            <w:hideMark/>
          </w:tcPr>
          <w:p w14:paraId="5AA1B880" w14:textId="77777777" w:rsidR="002C2948" w:rsidRPr="002C2948" w:rsidRDefault="002C2948" w:rsidP="002C2948">
            <w:r w:rsidRPr="002C2948">
              <w:t>500</w:t>
            </w:r>
          </w:p>
        </w:tc>
        <w:tc>
          <w:tcPr>
            <w:tcW w:w="2918" w:type="dxa"/>
            <w:noWrap/>
            <w:hideMark/>
          </w:tcPr>
          <w:p w14:paraId="092FDBB2" w14:textId="77777777" w:rsidR="002C2948" w:rsidRPr="002C2948" w:rsidRDefault="002C2948" w:rsidP="002C2948"/>
        </w:tc>
        <w:tc>
          <w:tcPr>
            <w:tcW w:w="2200" w:type="dxa"/>
            <w:noWrap/>
            <w:hideMark/>
          </w:tcPr>
          <w:p w14:paraId="0C0C034D" w14:textId="77777777" w:rsidR="002C2948" w:rsidRPr="002C2948" w:rsidRDefault="002C2948"/>
        </w:tc>
        <w:tc>
          <w:tcPr>
            <w:tcW w:w="2892" w:type="dxa"/>
            <w:noWrap/>
            <w:hideMark/>
          </w:tcPr>
          <w:p w14:paraId="43E746F6" w14:textId="77777777" w:rsidR="002C2948" w:rsidRPr="002C2948" w:rsidRDefault="002C2948" w:rsidP="002C2948">
            <w:r w:rsidRPr="002C2948">
              <w:t>500</w:t>
            </w:r>
          </w:p>
        </w:tc>
        <w:tc>
          <w:tcPr>
            <w:tcW w:w="2173" w:type="dxa"/>
            <w:noWrap/>
            <w:hideMark/>
          </w:tcPr>
          <w:p w14:paraId="1A9A28BB" w14:textId="77777777" w:rsidR="002C2948" w:rsidRPr="002C2948" w:rsidRDefault="002C2948" w:rsidP="002C2948">
            <w:r w:rsidRPr="002C2948">
              <w:t>24.39%</w:t>
            </w:r>
          </w:p>
        </w:tc>
      </w:tr>
      <w:tr w:rsidR="002C2948" w:rsidRPr="002C2948" w14:paraId="0BDC1342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10CC555A" w14:textId="77777777" w:rsidR="002C2948" w:rsidRPr="002C2948" w:rsidRDefault="002C2948">
            <w:r w:rsidRPr="002C2948">
              <w:t>Ethylene</w:t>
            </w:r>
          </w:p>
        </w:tc>
        <w:tc>
          <w:tcPr>
            <w:tcW w:w="4097" w:type="dxa"/>
            <w:noWrap/>
            <w:hideMark/>
          </w:tcPr>
          <w:p w14:paraId="09F3172B" w14:textId="77777777" w:rsidR="002C2948" w:rsidRPr="002C2948" w:rsidRDefault="002C2948" w:rsidP="002C2948">
            <w:r w:rsidRPr="002C2948">
              <w:t>234</w:t>
            </w:r>
          </w:p>
        </w:tc>
        <w:tc>
          <w:tcPr>
            <w:tcW w:w="2918" w:type="dxa"/>
            <w:noWrap/>
            <w:hideMark/>
          </w:tcPr>
          <w:p w14:paraId="4DCC8C4F" w14:textId="77777777" w:rsidR="002C2948" w:rsidRPr="002C2948" w:rsidRDefault="002C2948" w:rsidP="002C2948"/>
        </w:tc>
        <w:tc>
          <w:tcPr>
            <w:tcW w:w="2200" w:type="dxa"/>
            <w:noWrap/>
            <w:hideMark/>
          </w:tcPr>
          <w:p w14:paraId="3B2F9BAD" w14:textId="77777777" w:rsidR="002C2948" w:rsidRPr="002C2948" w:rsidRDefault="002C2948"/>
        </w:tc>
        <w:tc>
          <w:tcPr>
            <w:tcW w:w="2892" w:type="dxa"/>
            <w:noWrap/>
            <w:hideMark/>
          </w:tcPr>
          <w:p w14:paraId="2C7401AF" w14:textId="77777777" w:rsidR="002C2948" w:rsidRPr="002C2948" w:rsidRDefault="002C2948" w:rsidP="002C2948">
            <w:r w:rsidRPr="002C2948">
              <w:t>234</w:t>
            </w:r>
          </w:p>
        </w:tc>
        <w:tc>
          <w:tcPr>
            <w:tcW w:w="2173" w:type="dxa"/>
            <w:noWrap/>
            <w:hideMark/>
          </w:tcPr>
          <w:p w14:paraId="79715523" w14:textId="77777777" w:rsidR="002C2948" w:rsidRPr="002C2948" w:rsidRDefault="002C2948" w:rsidP="002C2948">
            <w:r w:rsidRPr="002C2948">
              <w:t>11.41%</w:t>
            </w:r>
          </w:p>
        </w:tc>
      </w:tr>
      <w:tr w:rsidR="002C2948" w:rsidRPr="002C2948" w14:paraId="4228B47D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14DB820D" w14:textId="77777777" w:rsidR="002C2948" w:rsidRPr="002C2948" w:rsidRDefault="002C2948">
            <w:r w:rsidRPr="002C2948">
              <w:t>Cement</w:t>
            </w:r>
          </w:p>
        </w:tc>
        <w:tc>
          <w:tcPr>
            <w:tcW w:w="4097" w:type="dxa"/>
            <w:noWrap/>
            <w:hideMark/>
          </w:tcPr>
          <w:p w14:paraId="4418F39B" w14:textId="77777777" w:rsidR="002C2948" w:rsidRPr="002C2948" w:rsidRDefault="002C2948" w:rsidP="002C2948">
            <w:r w:rsidRPr="002C2948">
              <w:t>1700</w:t>
            </w:r>
          </w:p>
        </w:tc>
        <w:tc>
          <w:tcPr>
            <w:tcW w:w="2918" w:type="dxa"/>
            <w:noWrap/>
            <w:hideMark/>
          </w:tcPr>
          <w:p w14:paraId="0C4654B5" w14:textId="77777777" w:rsidR="002C2948" w:rsidRPr="002C2948" w:rsidRDefault="002C2948" w:rsidP="002C2948"/>
        </w:tc>
        <w:tc>
          <w:tcPr>
            <w:tcW w:w="2200" w:type="dxa"/>
            <w:noWrap/>
            <w:hideMark/>
          </w:tcPr>
          <w:p w14:paraId="012C5D9A" w14:textId="77777777" w:rsidR="002C2948" w:rsidRPr="002C2948" w:rsidRDefault="002C2948"/>
        </w:tc>
        <w:tc>
          <w:tcPr>
            <w:tcW w:w="2892" w:type="dxa"/>
            <w:noWrap/>
            <w:hideMark/>
          </w:tcPr>
          <w:p w14:paraId="1E0F991D" w14:textId="77777777" w:rsidR="002C2948" w:rsidRPr="002C2948" w:rsidRDefault="002C2948" w:rsidP="002C2948">
            <w:r w:rsidRPr="002C2948">
              <w:t>1308</w:t>
            </w:r>
          </w:p>
        </w:tc>
        <w:tc>
          <w:tcPr>
            <w:tcW w:w="2173" w:type="dxa"/>
            <w:noWrap/>
            <w:hideMark/>
          </w:tcPr>
          <w:p w14:paraId="5771C1E8" w14:textId="77777777" w:rsidR="002C2948" w:rsidRPr="002C2948" w:rsidRDefault="002C2948" w:rsidP="002C2948">
            <w:r w:rsidRPr="002C2948">
              <w:t>63.80%</w:t>
            </w:r>
          </w:p>
        </w:tc>
      </w:tr>
      <w:tr w:rsidR="002C2948" w:rsidRPr="002C2948" w14:paraId="5F043AA0" w14:textId="77777777" w:rsidTr="002C2948">
        <w:trPr>
          <w:trHeight w:val="300"/>
        </w:trPr>
        <w:tc>
          <w:tcPr>
            <w:tcW w:w="2356" w:type="dxa"/>
            <w:noWrap/>
            <w:hideMark/>
          </w:tcPr>
          <w:p w14:paraId="2EA1016B" w14:textId="77777777" w:rsidR="002C2948" w:rsidRPr="002C2948" w:rsidRDefault="002C2948">
            <w:r w:rsidRPr="002C2948">
              <w:t>Total</w:t>
            </w:r>
          </w:p>
        </w:tc>
        <w:tc>
          <w:tcPr>
            <w:tcW w:w="4097" w:type="dxa"/>
            <w:noWrap/>
            <w:hideMark/>
          </w:tcPr>
          <w:p w14:paraId="71C02FD3" w14:textId="77777777" w:rsidR="002C2948" w:rsidRPr="002C2948" w:rsidRDefault="002C2948" w:rsidP="002C2948">
            <w:r w:rsidRPr="002C2948">
              <w:t>2692</w:t>
            </w:r>
          </w:p>
        </w:tc>
        <w:tc>
          <w:tcPr>
            <w:tcW w:w="2918" w:type="dxa"/>
            <w:noWrap/>
            <w:hideMark/>
          </w:tcPr>
          <w:p w14:paraId="74F79634" w14:textId="77777777" w:rsidR="002C2948" w:rsidRPr="002C2948" w:rsidRDefault="002C2948" w:rsidP="002C2948">
            <w:r w:rsidRPr="002C2948">
              <w:t>250</w:t>
            </w:r>
          </w:p>
        </w:tc>
        <w:tc>
          <w:tcPr>
            <w:tcW w:w="2200" w:type="dxa"/>
            <w:noWrap/>
            <w:hideMark/>
          </w:tcPr>
          <w:p w14:paraId="594A401A" w14:textId="77777777" w:rsidR="002C2948" w:rsidRPr="002C2948" w:rsidRDefault="002C2948" w:rsidP="002C2948">
            <w:r w:rsidRPr="002C2948">
              <w:t>100.00%</w:t>
            </w:r>
          </w:p>
        </w:tc>
        <w:tc>
          <w:tcPr>
            <w:tcW w:w="2892" w:type="dxa"/>
            <w:noWrap/>
            <w:hideMark/>
          </w:tcPr>
          <w:p w14:paraId="1089FEFD" w14:textId="77777777" w:rsidR="002C2948" w:rsidRPr="002C2948" w:rsidRDefault="002C2948" w:rsidP="002C2948">
            <w:r w:rsidRPr="002C2948">
              <w:t>2050</w:t>
            </w:r>
          </w:p>
        </w:tc>
        <w:tc>
          <w:tcPr>
            <w:tcW w:w="2173" w:type="dxa"/>
            <w:noWrap/>
            <w:hideMark/>
          </w:tcPr>
          <w:p w14:paraId="1907E5B6" w14:textId="77777777" w:rsidR="002C2948" w:rsidRPr="002C2948" w:rsidRDefault="002C2948" w:rsidP="002C2948">
            <w:r w:rsidRPr="002C2948">
              <w:t>100.00%</w:t>
            </w:r>
          </w:p>
        </w:tc>
      </w:tr>
    </w:tbl>
    <w:p w14:paraId="11AC1D4D" w14:textId="510BB834" w:rsidR="00707219" w:rsidRPr="002C2948" w:rsidRDefault="00707219" w:rsidP="00707219">
      <w:pPr>
        <w:rPr>
          <w:rFonts w:ascii="Calibri" w:eastAsia="Times New Roman" w:hAnsi="Calibri" w:cs="Calibri"/>
          <w:color w:val="000000"/>
          <w:sz w:val="22"/>
          <w:szCs w:val="22"/>
          <w:lang w:val="en-US"/>
        </w:rPr>
      </w:pPr>
      <w:r>
        <w:t xml:space="preserve">Table SI.3 </w:t>
      </w:r>
      <w:r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C</w:t>
      </w:r>
      <w:r w:rsidRPr="002C2948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>omposition of the marginal mix for CO</w:t>
      </w:r>
      <w:r w:rsidRPr="002C2948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/>
        </w:rPr>
        <w:t>2</w:t>
      </w:r>
      <w:r w:rsidRPr="002C2948">
        <w:rPr>
          <w:rFonts w:ascii="Calibri" w:eastAsia="Times New Roman" w:hAnsi="Calibri" w:cs="Calibri"/>
          <w:color w:val="000000"/>
          <w:sz w:val="22"/>
          <w:szCs w:val="22"/>
          <w:lang w:val="en-US"/>
        </w:rPr>
        <w:t xml:space="preserve"> in relative and absolute values for the near and long term scenario</w:t>
      </w:r>
    </w:p>
    <w:p w14:paraId="28A274E5" w14:textId="7DA24144" w:rsidR="002C2948" w:rsidRPr="00707219" w:rsidRDefault="002C2948">
      <w:pPr>
        <w:rPr>
          <w:lang w:val="en-US"/>
        </w:rPr>
      </w:pPr>
    </w:p>
    <w:p w14:paraId="105A2CDD" w14:textId="77777777" w:rsidR="002C2948" w:rsidRDefault="002C2948">
      <w:r>
        <w:br w:type="page"/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1268"/>
        <w:gridCol w:w="14132"/>
      </w:tblGrid>
      <w:tr w:rsidR="002C2948" w:rsidRPr="002C2948" w14:paraId="57E20940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2237" w14:textId="45B16320" w:rsidR="002C2948" w:rsidRPr="002C2948" w:rsidRDefault="002C2948" w:rsidP="0031402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  <w:lastRenderedPageBreak/>
              <w:t>References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79C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da-DK"/>
              </w:rPr>
            </w:pPr>
          </w:p>
        </w:tc>
      </w:tr>
      <w:tr w:rsidR="002C2948" w:rsidRPr="002C2948" w14:paraId="6543E641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CD2B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BA3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" w:name="RANGE!B2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S. D.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Supekar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S. J.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Skerlos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Environ. Sci. Technol., 2014, 48, 14615–14623.</w:t>
            </w:r>
            <w:bookmarkEnd w:id="1"/>
          </w:p>
        </w:tc>
      </w:tr>
      <w:tr w:rsidR="002C2948" w:rsidRPr="002C2948" w14:paraId="253CEB8F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4080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562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" w:name="RANGE!B3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K.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Möllersten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J. Yan and J. R. Moreira, Biomass Bioenergy, 2003, 25, 273–285.</w:t>
            </w:r>
            <w:bookmarkEnd w:id="2"/>
          </w:p>
        </w:tc>
      </w:tr>
      <w:tr w:rsidR="002C2948" w:rsidRPr="00EA178B" w14:paraId="15597AD3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8FF0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AC8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3" w:name="RANGE!B4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C. Fernández-Dacosta, M. W. van der Spek, C. R. Hung, G. D. Oregionni, R. Skagestad, P. Parihar, D. T. Gokak, A. H. Strømman and A. Ramírez, J. CO2 Util., 2017, 21, 405–422.</w:t>
            </w:r>
            <w:bookmarkEnd w:id="3"/>
          </w:p>
        </w:tc>
      </w:tr>
      <w:tr w:rsidR="002C2948" w:rsidRPr="002C2948" w14:paraId="3529FF8D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BFB4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4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281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4" w:name="RANGE!B5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A. Sternberg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Bardow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Energy Environ.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Sci., 2015, 8, 389–400.</w:t>
            </w:r>
            <w:bookmarkEnd w:id="4"/>
          </w:p>
        </w:tc>
      </w:tr>
      <w:tr w:rsidR="002C2948" w:rsidRPr="002C2948" w14:paraId="7145BB03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82F1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5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0C4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5" w:name="RANGE!B6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Y. E.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Fouih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C.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Bouallou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Energy Procedia, 2013, 37, 6679–6686.</w:t>
            </w:r>
            <w:bookmarkEnd w:id="5"/>
          </w:p>
        </w:tc>
      </w:tr>
      <w:tr w:rsidR="002C2948" w:rsidRPr="002C2948" w14:paraId="7E09B772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6897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6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1E2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6" w:name="RANGE!B7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F. F. T. de Groot, R. R. G. J. Lammerink, C. Heidemann, M. P. M. van der Werff, T. C. Garcia, L. A. G. J. van der Ham and H. van den Berg, Chem. Eng. Trans, 2014, 39, 1561–1566.</w:t>
            </w:r>
            <w:bookmarkEnd w:id="6"/>
          </w:p>
        </w:tc>
      </w:tr>
      <w:tr w:rsidR="002C2948" w:rsidRPr="002C2948" w14:paraId="5865B3D1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79FD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7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B63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7" w:name="RANGE!B8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A. Sternberg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Bardow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ACS Sustainable Chem. Eng., 2016, 4, 4156–4165.</w:t>
            </w:r>
            <w:bookmarkEnd w:id="7"/>
          </w:p>
        </w:tc>
      </w:tr>
      <w:tr w:rsidR="002C2948" w:rsidRPr="002C2948" w14:paraId="441AC8E7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4B57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8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307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8" w:name="RANGE!B9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C.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Fernández-Dacosta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V.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Stojcheva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Ramírez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J. CO2 Util., 2018, 23, 128–142.</w:t>
            </w:r>
            <w:bookmarkEnd w:id="8"/>
          </w:p>
        </w:tc>
      </w:tr>
      <w:tr w:rsidR="002C2948" w:rsidRPr="002C2948" w14:paraId="7E009DC4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1BEF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9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8DB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9" w:name="RANGE!B10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A. Dominguez-Ramos, B. Singh, X. Zhang, E. G.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Hertwich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Irabien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J. Cleaner Prod., 2015, 104, 148–155.</w:t>
            </w:r>
            <w:bookmarkEnd w:id="9"/>
          </w:p>
        </w:tc>
      </w:tr>
      <w:tr w:rsidR="002C2948" w:rsidRPr="002C2948" w14:paraId="4D6A331B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7032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10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2214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0" w:name="RANGE!B11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A. Sternberg, C. M. Jens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Bardow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Green Chem., 2017, 19, 2244–2259.</w:t>
            </w:r>
            <w:bookmarkEnd w:id="10"/>
          </w:p>
        </w:tc>
      </w:tr>
      <w:tr w:rsidR="002C2948" w:rsidRPr="002C2948" w14:paraId="346E5334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647A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11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9C1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11" w:name="RANGE!B12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C. Falter, V.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Batteiger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Sizmann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Environ.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Sci. Technol., 2016, 50, 470–477.</w:t>
            </w:r>
            <w:bookmarkEnd w:id="11"/>
          </w:p>
        </w:tc>
      </w:tr>
      <w:tr w:rsidR="002C2948" w:rsidRPr="002C2948" w14:paraId="190B4616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C49E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12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82E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12" w:name="RANGE!B13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S. Deutz, D. Bongartz, B. Heuser, A. Kätelhön, L. Schulze Langenhorst, A. Omari, M. Walters, J. Klankermayer, W. Leitner, A. Mitsos, S. Pischinger and A. Bardow, Energy Environ. Sci., 2018, 11, 331–343.</w:t>
            </w:r>
            <w:bookmarkEnd w:id="12"/>
          </w:p>
        </w:tc>
      </w:tr>
      <w:tr w:rsidR="002C2948" w:rsidRPr="002C2948" w14:paraId="0DCF1104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8AFD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13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F351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3" w:name="RANGE!B14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A. Mehmeti, A. Angelis-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Dimakis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G.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Arampatzis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S. McPhail and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Ulgiati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Environ., 2018, 5, 24–42.</w:t>
            </w:r>
            <w:bookmarkEnd w:id="13"/>
          </w:p>
        </w:tc>
      </w:tr>
      <w:tr w:rsidR="002C2948" w:rsidRPr="002C2948" w14:paraId="2CB4663D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8ED5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14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6D0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4" w:name="RANGE!B15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H. D. Choi, Master thesis, Norwegian University of Science and Technology, 2013.</w:t>
            </w:r>
            <w:bookmarkEnd w:id="14"/>
          </w:p>
        </w:tc>
      </w:tr>
      <w:tr w:rsidR="002C2948" w:rsidRPr="002C2948" w14:paraId="386A893D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F5D3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15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53F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5" w:name="RANGE!B16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M. C.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Weikl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G. Schmidt, Carbon Capture in Cracking Furnaces,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AIChE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Paper 12c, San Antonio, 2010.</w:t>
            </w:r>
            <w:bookmarkEnd w:id="15"/>
          </w:p>
        </w:tc>
      </w:tr>
      <w:tr w:rsidR="002C2948" w:rsidRPr="002C2948" w14:paraId="7380B4B2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BB94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16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1579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6" w:name="RANGE!B17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D.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García-Gusano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D.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Garraín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I. Herrera, H. Cabal and Y.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Lechón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J. Cleaner Prod., 2015, 104, 328–338.</w:t>
            </w:r>
            <w:bookmarkEnd w:id="16"/>
          </w:p>
        </w:tc>
      </w:tr>
      <w:tr w:rsidR="002C2948" w:rsidRPr="002C2948" w14:paraId="7A6E7C22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0687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17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383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7" w:name="RANGE!B18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a) M.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Aresta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Caroppo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Dibenedetto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M.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Narracci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in Environmental Challenges and Greenhouse Gas Control for Fossil Fuel Utilization in the 21st Century, ed. M. M.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Maroto-Valer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C. Song and Y. Soong, Springer, Boston, 2002, pp. 331–347; b) P.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Biernacki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T.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Röther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W. Paul, P. Werner and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Steinigeweg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J. Cleaner Prod., 2018, 191, 87–98; c) J. Kim, C.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Henao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T. A. Johnson, D. E.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Dedrick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J. E. Miller, E. B.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Stechel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C. T.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Maravelias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Energy Environ. Sci., 2011, 4, 3122–3132; d) M. Pérez-Fortes, J. C.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Schöneberger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Boulamanti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E.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Tzimas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Appl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Energy, 2016, 161, 718–732; </w:t>
            </w:r>
            <w:bookmarkEnd w:id="17"/>
          </w:p>
        </w:tc>
      </w:tr>
      <w:tr w:rsidR="002C2948" w:rsidRPr="002C2948" w14:paraId="5E4340C1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2DD7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18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9D4C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18" w:name="RANGE!B19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W. Hoppe,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Bringezu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N. Thonemann, J. Cleaner Prod., 2016, 121, 231–237.</w:t>
            </w:r>
            <w:bookmarkEnd w:id="18"/>
          </w:p>
        </w:tc>
      </w:tr>
      <w:tr w:rsidR="002C2948" w:rsidRPr="002C2948" w14:paraId="36A8A470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0547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19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547B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19" w:name="RANGE!B20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W. Hoppe, N.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Thonemann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Bringezu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J. Ind.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Ecol., 2018, 22, 327–340.</w:t>
            </w:r>
            <w:bookmarkEnd w:id="19"/>
          </w:p>
        </w:tc>
      </w:tr>
      <w:tr w:rsidR="002C2948" w:rsidRPr="002C2948" w14:paraId="3D384DE3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278A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20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C49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0" w:name="RANGE!B21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M.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Matzen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Y.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Demirel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J. Cleaner Prod., 2016, 139, 1068–1077.</w:t>
            </w:r>
            <w:bookmarkEnd w:id="20"/>
          </w:p>
        </w:tc>
      </w:tr>
      <w:tr w:rsidR="002C2948" w:rsidRPr="002C2948" w14:paraId="0054EF1B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DB6D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21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B5E6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1" w:name="RANGE!B22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S. M. Jarvis and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Samsatli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Renewable Sustainable Energy Rev., 2018, 85, 46–68.</w:t>
            </w:r>
            <w:bookmarkEnd w:id="21"/>
          </w:p>
        </w:tc>
      </w:tr>
      <w:tr w:rsidR="002C2948" w:rsidRPr="002C2948" w14:paraId="220CFE75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9B46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22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BCA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2" w:name="RANGE!B23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Element Energy; Carbon Counts; PSE; Imperial College; University of Sheffield, Demonstrating CO2 capture in the UK cement, chemicals, iron and steel and oil refining sectors by 2025: A techno-economic study, Cambridge, 2014.</w:t>
            </w:r>
            <w:bookmarkEnd w:id="22"/>
          </w:p>
        </w:tc>
      </w:tr>
      <w:tr w:rsidR="002C2948" w:rsidRPr="002C2948" w14:paraId="639B824A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9E86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23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7A9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3" w:name="RANGE!B24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J. Patricio, A. Angelis-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Dimakis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Castillo-Castillo, Y.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Kalmykova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L. Rosado, J. CO2 Util., 2017, 22, 330–345.</w:t>
            </w:r>
            <w:bookmarkEnd w:id="23"/>
          </w:p>
        </w:tc>
      </w:tr>
      <w:tr w:rsidR="002C2948" w:rsidRPr="002C2948" w14:paraId="43D631BB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3AC1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24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F13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4" w:name="RANGE!B25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J. Patricio, A. Angelis-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Dimakis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Castillo-Castillo, Y.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Kalmykova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L. Rosado, J. CO2 Util., 2017, 17, 50–59.</w:t>
            </w:r>
            <w:bookmarkEnd w:id="24"/>
          </w:p>
        </w:tc>
      </w:tr>
      <w:tr w:rsidR="002C2948" w:rsidRPr="00EA178B" w14:paraId="41574C41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A49C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25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A7B2" w14:textId="77777777" w:rsidR="002C2948" w:rsidRPr="00690C89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25" w:name="RANGE!B26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A. M. Bazzanella and F. Ausfelder, Low carbon energy and feedstock for the European chemical industry, Gesellschaft für Chemische Technik und Biotechnologie e.V. (DECHEMA), Technology study, 2017.</w:t>
            </w:r>
            <w:bookmarkEnd w:id="25"/>
          </w:p>
        </w:tc>
      </w:tr>
      <w:tr w:rsidR="002C2948" w:rsidRPr="002C2948" w14:paraId="2E4CD382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255E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26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532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6" w:name="RANGE!B27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University of Sheffield, Report on fully integrated and intensified value chain concepts for process selection. Carbon Next. The Next Generation of Carbon for the Process Industry, 2017.</w:t>
            </w:r>
            <w:bookmarkEnd w:id="26"/>
          </w:p>
        </w:tc>
      </w:tr>
      <w:tr w:rsidR="002C2948" w:rsidRPr="002C2948" w14:paraId="0D84A4FD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F6BF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lastRenderedPageBreak/>
              <w:t>27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D308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27" w:name="RANGE!B28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L. K.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Rihko-Struckmann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, A. Peschel, R. Hanke-Rauschenbach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and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 K. Sundmacher,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Ind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. Eng.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Chem. Res., 2010, 49, 11073–11078.</w:t>
            </w:r>
            <w:bookmarkEnd w:id="27"/>
          </w:p>
        </w:tc>
      </w:tr>
      <w:tr w:rsidR="002C2948" w:rsidRPr="002C2948" w14:paraId="56E53E62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3189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28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346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28" w:name="RANGE!B29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a) P. Collet, E.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Flottes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Favre, L.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Raynal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H. Pierre,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Capela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C.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Peregrina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Appl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Energy, 2017, 192, 282–295; b) W. Hoppe and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Bringezu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UmweltWirtschaftsForum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2016, 24, 43–47; c) D. Parra, X. Zhang, C. Bauer and M. K. Patel,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Appl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Energy, 2017, 193, 440–454; d) G. Reiter and J.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Lindorfer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J. CO2 Util., 2015, 10, 40–49; </w:t>
            </w:r>
            <w:bookmarkEnd w:id="28"/>
          </w:p>
        </w:tc>
      </w:tr>
      <w:tr w:rsidR="002C2948" w:rsidRPr="002C2948" w14:paraId="2F16E779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2AF1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29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244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29" w:name="RANGE!B30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B. Müller, K. Müller, D. Teichmann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and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 W. Arlt, Chem. Ing.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Tech., 2011, 83, 2002–2013.</w:t>
            </w:r>
            <w:bookmarkEnd w:id="29"/>
          </w:p>
        </w:tc>
      </w:tr>
      <w:tr w:rsidR="002C2948" w:rsidRPr="002C2948" w14:paraId="09F42749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CB3A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30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216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30" w:name="RANGE!B31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N. von der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Assen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Bardow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Green Chem., 2014, 16, 3272–3280.</w:t>
            </w:r>
            <w:bookmarkEnd w:id="30"/>
          </w:p>
        </w:tc>
      </w:tr>
      <w:tr w:rsidR="002C2948" w:rsidRPr="002C2948" w14:paraId="4F89425E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D2F7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31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3775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31" w:name="RANGE!B32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L.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Mennicken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Janz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S. Roth, Environ.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Sci. Pollut. Res., 2016, 23, 11386–11392.</w:t>
            </w:r>
            <w:bookmarkEnd w:id="31"/>
          </w:p>
        </w:tc>
      </w:tr>
      <w:tr w:rsidR="002C2948" w:rsidRPr="002C2948" w14:paraId="21000553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F932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32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E653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32" w:name="RANGE!B33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a) B.-Y. Yu, M.-K. Chen and I.-L.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Chien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Ind. Eng. Chem. Res., 2018, 57, 639–652; b) J. G. M.-S. Monteiro, O. de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Queiroz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Fernandes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Araújo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J. L. de Medeiros, Clean Technol. Environ. Policy, 2009, 11, 209–214; c) P.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Kongpanna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V.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Pavarajarn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R.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Gani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S.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Assabumrungrat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Chem. Eng. Res. Des., 2015, 93, 496–510; d) L. F. S. Souza, P. R. R. Ferreira, J. L. de Medeiros, R. M. B. Alves and O. Q. F.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Araújo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ACS Sustainable Chem. Eng., 2014, 2, 62–69; </w:t>
            </w:r>
            <w:bookmarkEnd w:id="32"/>
          </w:p>
        </w:tc>
      </w:tr>
      <w:tr w:rsidR="002C2948" w:rsidRPr="002C2948" w14:paraId="159E6E3D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0EB5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33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E927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bookmarkStart w:id="33" w:name="RANGE!B34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L. Bär, S. Eiden, A. Bardow, U. Sauer, M. Behrens, M. Beller, M. Muhler, S. Kaskel, T. Kayser, A. Behr, P. Claus, W. Leitner, E. Stelter, S. Bohnes, F. Buschsieweke and D. Wiemann, CO2RRECT. Verwertung von CO2 als Kohlenstoffbaustein unter Verwendung überwiegend regenerativer Energie. Schlussbericht, 2014.</w:t>
            </w:r>
            <w:bookmarkEnd w:id="33"/>
          </w:p>
        </w:tc>
      </w:tr>
      <w:tr w:rsidR="002C2948" w:rsidRPr="002C2948" w14:paraId="434D9D92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D14E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34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918D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34" w:name="RANGE!B35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W. B.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Schakel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G. D.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Oregionni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B. Singh, A. H.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Strømman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Ramírez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J. CO2 Util., 2016, 16, 138–149.</w:t>
            </w:r>
            <w:bookmarkEnd w:id="34"/>
          </w:p>
        </w:tc>
      </w:tr>
      <w:tr w:rsidR="002C2948" w:rsidRPr="002C2948" w14:paraId="49722786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D198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35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68BE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35" w:name="RANGE!B36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M.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Rumayor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A. Dominguez-Ramos and A.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Irabien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Appl. Sci., 2018, 8, 914–925.</w:t>
            </w:r>
            <w:bookmarkEnd w:id="35"/>
          </w:p>
        </w:tc>
      </w:tr>
      <w:tr w:rsidR="002C2948" w:rsidRPr="00EA178B" w14:paraId="17EC5C30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2C1A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36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B4EA" w14:textId="77777777" w:rsidR="002C2948" w:rsidRPr="00690C89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</w:pPr>
            <w:bookmarkStart w:id="36" w:name="RANGE!B37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M. Pérez-Fortes, J. C. Schöneberger, A.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Boulamanti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, G. Harrison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and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 E.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Tzimas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 xml:space="preserve">, Int. J. Hydrogen </w:t>
            </w:r>
            <w:proofErr w:type="spellStart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Energy</w:t>
            </w:r>
            <w:proofErr w:type="spellEnd"/>
            <w:r w:rsidRPr="00690C89">
              <w:rPr>
                <w:rFonts w:ascii="Calibri" w:eastAsia="Times New Roman" w:hAnsi="Calibri" w:cs="Calibri"/>
                <w:color w:val="000000"/>
                <w:sz w:val="22"/>
                <w:szCs w:val="22"/>
                <w:lang w:val="de-DE"/>
              </w:rPr>
              <w:t>, 2016, 41, 16444–16462.</w:t>
            </w:r>
            <w:bookmarkEnd w:id="36"/>
          </w:p>
        </w:tc>
      </w:tr>
      <w:tr w:rsidR="002C2948" w:rsidRPr="002C2948" w14:paraId="5F4F11EE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557B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37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4ACA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37" w:name="RANGE!B38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C.-L. Chiang, K.-S. Lin and H.-W. Chuang, J. Cleaner Prod., 2018, 172, 1957–1977.</w:t>
            </w:r>
            <w:bookmarkEnd w:id="37"/>
          </w:p>
        </w:tc>
      </w:tr>
      <w:tr w:rsidR="002C2948" w:rsidRPr="002C2948" w14:paraId="7921A6ED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BC89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38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D540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</w:pPr>
            <w:bookmarkStart w:id="38" w:name="RANGE!B39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O. G. Griffiths, R. E. Owen, J. P. O'Byrne, D.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Mattia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, M. D. Jones and M. C. McManus, RSC Adv., 2013, 3, 12244–12254.</w:t>
            </w:r>
            <w:bookmarkEnd w:id="38"/>
          </w:p>
        </w:tc>
      </w:tr>
      <w:tr w:rsidR="002C2948" w:rsidRPr="002C2948" w14:paraId="713E98FF" w14:textId="77777777" w:rsidTr="002C2948">
        <w:trPr>
          <w:trHeight w:val="30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D886" w14:textId="77777777" w:rsidR="002C2948" w:rsidRPr="002C2948" w:rsidRDefault="002C2948" w:rsidP="002C2948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39</w:t>
            </w:r>
          </w:p>
        </w:tc>
        <w:tc>
          <w:tcPr>
            <w:tcW w:w="14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3B0F" w14:textId="77777777" w:rsidR="002C2948" w:rsidRPr="002C2948" w:rsidRDefault="002C2948" w:rsidP="002C294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</w:pP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H.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Naims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, Environ. Sci. </w:t>
            </w:r>
            <w:proofErr w:type="spellStart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Pollut</w:t>
            </w:r>
            <w:proofErr w:type="spellEnd"/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 xml:space="preserve">. </w:t>
            </w:r>
            <w:r w:rsidRPr="002C2948">
              <w:rPr>
                <w:rFonts w:ascii="Calibri" w:eastAsia="Times New Roman" w:hAnsi="Calibri" w:cs="Calibri"/>
                <w:color w:val="000000"/>
                <w:sz w:val="22"/>
                <w:szCs w:val="22"/>
                <w:lang w:val="da-DK"/>
              </w:rPr>
              <w:t>Res., 2016, 23, 22226–22241.</w:t>
            </w:r>
          </w:p>
        </w:tc>
      </w:tr>
    </w:tbl>
    <w:p w14:paraId="10B50F37" w14:textId="77777777" w:rsidR="002C2948" w:rsidRDefault="002C2948"/>
    <w:sectPr w:rsidR="002C2948" w:rsidSect="002C2948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1N7QwsDA0NDcxtDBR0lEKTi0uzszPAykwqgUA1sJMISwAAAA="/>
  </w:docVars>
  <w:rsids>
    <w:rsidRoot w:val="002C2948"/>
    <w:rsid w:val="0028151F"/>
    <w:rsid w:val="002C2948"/>
    <w:rsid w:val="00314025"/>
    <w:rsid w:val="00317C4B"/>
    <w:rsid w:val="00332B93"/>
    <w:rsid w:val="00422F35"/>
    <w:rsid w:val="004518EE"/>
    <w:rsid w:val="005F4664"/>
    <w:rsid w:val="00690C89"/>
    <w:rsid w:val="00707219"/>
    <w:rsid w:val="00836D8D"/>
    <w:rsid w:val="00891CE1"/>
    <w:rsid w:val="009E6DC5"/>
    <w:rsid w:val="00AD05EA"/>
    <w:rsid w:val="00B636FD"/>
    <w:rsid w:val="00BB10A7"/>
    <w:rsid w:val="00C16A2C"/>
    <w:rsid w:val="00C4549F"/>
    <w:rsid w:val="00EA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7D95"/>
  <w14:defaultImageDpi w14:val="330"/>
  <w15:chartTrackingRefBased/>
  <w15:docId w15:val="{F623ED51-7E25-824B-9F86-36603EA07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C2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B636F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1492</Words>
  <Characters>9402</Characters>
  <Application>Microsoft Office Word</Application>
  <DocSecurity>0</DocSecurity>
  <Lines>78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Thonemann, Nils</cp:lastModifiedBy>
  <cp:revision>9</cp:revision>
  <dcterms:created xsi:type="dcterms:W3CDTF">2019-04-15T14:24:00Z</dcterms:created>
  <dcterms:modified xsi:type="dcterms:W3CDTF">2019-04-25T15:03:00Z</dcterms:modified>
</cp:coreProperties>
</file>