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9F717" w14:textId="66F83840" w:rsidR="00103A77" w:rsidRDefault="00103A77" w:rsidP="00103A77">
      <w:pPr>
        <w:spacing w:after="0" w:line="240" w:lineRule="auto"/>
        <w:rPr>
          <w:rFonts w:cstheme="minorHAnsi"/>
          <w:sz w:val="18"/>
          <w:szCs w:val="18"/>
        </w:rPr>
      </w:pPr>
      <w:r w:rsidRPr="00103A77">
        <w:rPr>
          <w:rFonts w:eastAsia="Times New Roman" w:cstheme="minorHAnsi"/>
          <w:kern w:val="0"/>
          <w:sz w:val="18"/>
          <w:szCs w:val="18"/>
          <w:lang w:eastAsia="en-GB"/>
          <w14:ligatures w14:val="none"/>
        </w:rPr>
        <w:t xml:space="preserve">Overview of differences in scoring between the Solvent Sustainability Guide for Paints and Coatings and </w:t>
      </w:r>
      <w:r w:rsidRPr="00103A77">
        <w:rPr>
          <w:rFonts w:cstheme="minorHAnsi"/>
          <w:i/>
          <w:iCs/>
          <w:sz w:val="18"/>
          <w:szCs w:val="18"/>
        </w:rPr>
        <w:t>Green Chem.</w:t>
      </w:r>
      <w:r w:rsidRPr="00103A77">
        <w:rPr>
          <w:rFonts w:cstheme="minorHAnsi"/>
          <w:sz w:val="18"/>
          <w:szCs w:val="18"/>
        </w:rPr>
        <w:t xml:space="preserve">, 2016, </w:t>
      </w:r>
      <w:r w:rsidRPr="00103A77">
        <w:rPr>
          <w:rFonts w:cstheme="minorHAnsi"/>
          <w:b/>
          <w:bCs/>
          <w:sz w:val="18"/>
          <w:szCs w:val="18"/>
        </w:rPr>
        <w:t>18</w:t>
      </w:r>
      <w:r w:rsidRPr="00103A77">
        <w:rPr>
          <w:rFonts w:cstheme="minorHAnsi"/>
          <w:sz w:val="18"/>
          <w:szCs w:val="18"/>
        </w:rPr>
        <w:t>, 3879-3890</w:t>
      </w:r>
    </w:p>
    <w:p w14:paraId="1BA9B054" w14:textId="77777777" w:rsidR="00103A77" w:rsidRPr="00103A77" w:rsidRDefault="00103A77" w:rsidP="00103A77">
      <w:pPr>
        <w:spacing w:after="0" w:line="240" w:lineRule="auto"/>
        <w:rPr>
          <w:rFonts w:eastAsia="Times New Roman" w:cstheme="minorHAnsi"/>
          <w:kern w:val="0"/>
          <w:sz w:val="18"/>
          <w:szCs w:val="18"/>
          <w:lang w:eastAsia="en-GB"/>
          <w14:ligatures w14:val="none"/>
        </w:rPr>
      </w:pPr>
    </w:p>
    <w:p w14:paraId="0078E1AD" w14:textId="77777777" w:rsidR="00103A77" w:rsidRPr="00103A77" w:rsidRDefault="00103A77" w:rsidP="00103A77">
      <w:pPr>
        <w:spacing w:after="0" w:line="240" w:lineRule="auto"/>
        <w:rPr>
          <w:rFonts w:eastAsia="Times New Roman" w:cstheme="minorHAnsi"/>
          <w:color w:val="000000"/>
          <w:kern w:val="0"/>
          <w:sz w:val="18"/>
          <w:szCs w:val="18"/>
          <w:shd w:val="clear" w:color="auto" w:fill="FFFFFF"/>
          <w:lang w:eastAsia="en-GB"/>
          <w14:ligatures w14:val="none"/>
        </w:rPr>
      </w:pPr>
    </w:p>
    <w:p w14:paraId="7202D807" w14:textId="77777777" w:rsidR="00103A77" w:rsidRPr="00103A77" w:rsidRDefault="00103A77" w:rsidP="00103A77">
      <w:pPr>
        <w:spacing w:after="0" w:line="240" w:lineRule="auto"/>
        <w:rPr>
          <w:rFonts w:eastAsia="Times New Roman" w:cstheme="minorHAnsi"/>
          <w:color w:val="000000"/>
          <w:kern w:val="0"/>
          <w:sz w:val="18"/>
          <w:szCs w:val="18"/>
          <w:shd w:val="clear" w:color="auto" w:fill="FFFFFF"/>
          <w:lang w:eastAsia="en-GB"/>
          <w14:ligatures w14:val="none"/>
        </w:rPr>
      </w:pPr>
    </w:p>
    <w:tbl>
      <w:tblPr>
        <w:tblW w:w="10665" w:type="dxa"/>
        <w:shd w:val="clear" w:color="auto" w:fill="FFFFFF"/>
        <w:tblCellMar>
          <w:top w:w="15" w:type="dxa"/>
          <w:left w:w="15" w:type="dxa"/>
          <w:bottom w:w="15" w:type="dxa"/>
          <w:right w:w="15" w:type="dxa"/>
        </w:tblCellMar>
        <w:tblLook w:val="04A0" w:firstRow="1" w:lastRow="0" w:firstColumn="1" w:lastColumn="0" w:noHBand="0" w:noVBand="1"/>
      </w:tblPr>
      <w:tblGrid>
        <w:gridCol w:w="1928"/>
        <w:gridCol w:w="3663"/>
        <w:gridCol w:w="5074"/>
      </w:tblGrid>
      <w:tr w:rsidR="005B2604" w:rsidRPr="005B2604" w14:paraId="52244980" w14:textId="77777777" w:rsidTr="005B2604">
        <w:trPr>
          <w:cantSplit/>
          <w:trHeight w:val="320"/>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0611FFB8" w14:textId="77777777" w:rsidR="005B2604" w:rsidRPr="005B2604" w:rsidRDefault="005B2604" w:rsidP="005B2604">
            <w:pPr>
              <w:rPr>
                <w:rFonts w:cstheme="minorHAnsi"/>
                <w:sz w:val="18"/>
                <w:szCs w:val="18"/>
              </w:rPr>
            </w:pP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7B8BE725" w14:textId="77777777" w:rsidR="005B2604" w:rsidRPr="005B2604" w:rsidRDefault="005B2604" w:rsidP="005B2604">
            <w:pPr>
              <w:rPr>
                <w:rFonts w:cstheme="minorHAnsi"/>
                <w:sz w:val="18"/>
                <w:szCs w:val="18"/>
              </w:rPr>
            </w:pPr>
            <w:r w:rsidRPr="005B2604">
              <w:rPr>
                <w:rFonts w:cstheme="minorHAnsi"/>
                <w:b/>
                <w:bCs/>
                <w:sz w:val="18"/>
                <w:szCs w:val="18"/>
              </w:rPr>
              <w:t>Consumer</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412F6436" w14:textId="77777777" w:rsidR="005B2604" w:rsidRPr="005B2604" w:rsidRDefault="005B2604" w:rsidP="005B2604">
            <w:pPr>
              <w:rPr>
                <w:rFonts w:cstheme="minorHAnsi"/>
                <w:sz w:val="18"/>
                <w:szCs w:val="18"/>
              </w:rPr>
            </w:pPr>
            <w:r w:rsidRPr="005B2604">
              <w:rPr>
                <w:rFonts w:cstheme="minorHAnsi"/>
                <w:b/>
                <w:bCs/>
                <w:sz w:val="18"/>
                <w:szCs w:val="18"/>
              </w:rPr>
              <w:t>Industrial</w:t>
            </w:r>
          </w:p>
        </w:tc>
      </w:tr>
      <w:tr w:rsidR="005B2604" w:rsidRPr="005B2604" w14:paraId="3C100B03" w14:textId="77777777" w:rsidTr="005B2604">
        <w:trPr>
          <w:cantSplit/>
          <w:trHeight w:val="569"/>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5524A431" w14:textId="77777777" w:rsidR="005B2604" w:rsidRPr="005B2604" w:rsidRDefault="005B2604" w:rsidP="005B2604">
            <w:pPr>
              <w:rPr>
                <w:rFonts w:cstheme="minorHAnsi"/>
                <w:sz w:val="18"/>
                <w:szCs w:val="18"/>
              </w:rPr>
            </w:pPr>
            <w:r w:rsidRPr="005B2604">
              <w:rPr>
                <w:rFonts w:cstheme="minorHAnsi"/>
                <w:sz w:val="18"/>
                <w:szCs w:val="18"/>
              </w:rPr>
              <w:t>1- incineration</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79BBCCD4" w14:textId="77777777" w:rsidR="005B2604" w:rsidRPr="005B2604" w:rsidRDefault="005B2604" w:rsidP="005B2604">
            <w:pPr>
              <w:rPr>
                <w:rFonts w:cstheme="minorHAnsi"/>
                <w:sz w:val="18"/>
                <w:szCs w:val="18"/>
              </w:rPr>
            </w:pPr>
            <w:r w:rsidRPr="005B2604">
              <w:rPr>
                <w:rFonts w:cstheme="minorHAnsi"/>
                <w:sz w:val="18"/>
                <w:szCs w:val="18"/>
              </w:rPr>
              <w:t>Included in composite score, no water factor in individual score</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34ADE9D6" w14:textId="77777777" w:rsidR="005B2604" w:rsidRPr="005B2604" w:rsidRDefault="005B2604" w:rsidP="005B2604">
            <w:pPr>
              <w:rPr>
                <w:rFonts w:cstheme="minorHAnsi"/>
                <w:sz w:val="18"/>
                <w:szCs w:val="18"/>
              </w:rPr>
            </w:pPr>
            <w:r w:rsidRPr="005B2604">
              <w:rPr>
                <w:rFonts w:cstheme="minorHAnsi"/>
                <w:sz w:val="18"/>
                <w:szCs w:val="18"/>
              </w:rPr>
              <w:t>Included in composite score, however a smaller emphasis than in the previous guide)</w:t>
            </w:r>
          </w:p>
          <w:p w14:paraId="0EF0844C" w14:textId="77777777" w:rsidR="005B2604" w:rsidRPr="005B2604" w:rsidRDefault="005B2604" w:rsidP="005B2604">
            <w:pPr>
              <w:rPr>
                <w:rFonts w:cstheme="minorHAnsi"/>
                <w:sz w:val="18"/>
                <w:szCs w:val="18"/>
              </w:rPr>
            </w:pPr>
            <w:r w:rsidRPr="005B2604">
              <w:rPr>
                <w:rFonts w:cstheme="minorHAnsi"/>
                <w:sz w:val="18"/>
                <w:szCs w:val="18"/>
              </w:rPr>
              <w:t xml:space="preserve">(em^2 x burn^2 x </w:t>
            </w:r>
            <w:proofErr w:type="gramStart"/>
            <w:r w:rsidRPr="005B2604">
              <w:rPr>
                <w:rFonts w:cstheme="minorHAnsi"/>
                <w:sz w:val="18"/>
                <w:szCs w:val="18"/>
              </w:rPr>
              <w:t>water)^</w:t>
            </w:r>
            <w:proofErr w:type="gramEnd"/>
            <w:r w:rsidRPr="005B2604">
              <w:rPr>
                <w:rFonts w:cstheme="minorHAnsi"/>
                <w:sz w:val="18"/>
                <w:szCs w:val="18"/>
              </w:rPr>
              <w:t>(1/5)</w:t>
            </w:r>
          </w:p>
        </w:tc>
      </w:tr>
      <w:tr w:rsidR="005B2604" w:rsidRPr="005B2604" w14:paraId="16E81D78" w14:textId="77777777" w:rsidTr="005B2604">
        <w:trPr>
          <w:cantSplit/>
          <w:trHeight w:val="569"/>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4E833CCB" w14:textId="77777777" w:rsidR="005B2604" w:rsidRPr="005B2604" w:rsidRDefault="005B2604" w:rsidP="005B2604">
            <w:pPr>
              <w:rPr>
                <w:rFonts w:cstheme="minorHAnsi"/>
                <w:sz w:val="18"/>
                <w:szCs w:val="18"/>
              </w:rPr>
            </w:pPr>
            <w:r w:rsidRPr="005B2604">
              <w:rPr>
                <w:rFonts w:cstheme="minorHAnsi"/>
                <w:sz w:val="18"/>
                <w:szCs w:val="18"/>
              </w:rPr>
              <w:t>2 - recycling</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1BC01542" w14:textId="77777777" w:rsidR="005B2604" w:rsidRPr="005B2604" w:rsidRDefault="005B2604" w:rsidP="005B2604">
            <w:pPr>
              <w:rPr>
                <w:rFonts w:cstheme="minorHAnsi"/>
                <w:sz w:val="18"/>
                <w:szCs w:val="18"/>
              </w:rPr>
            </w:pPr>
            <w:r w:rsidRPr="005B2604">
              <w:rPr>
                <w:rFonts w:cstheme="minorHAnsi"/>
                <w:sz w:val="18"/>
                <w:szCs w:val="18"/>
              </w:rPr>
              <w:t>Not included in composite score</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15025E4B" w14:textId="23B3F296" w:rsidR="005B2604" w:rsidRPr="005B2604" w:rsidRDefault="005B2604" w:rsidP="0035771D">
            <w:pPr>
              <w:rPr>
                <w:rFonts w:cstheme="minorHAnsi"/>
                <w:sz w:val="18"/>
                <w:szCs w:val="18"/>
              </w:rPr>
            </w:pPr>
            <w:r w:rsidRPr="005B2604">
              <w:rPr>
                <w:rFonts w:cstheme="minorHAnsi"/>
                <w:sz w:val="18"/>
                <w:szCs w:val="18"/>
              </w:rPr>
              <w:t>Included in composite score, (bp^2 x flam/</w:t>
            </w:r>
            <w:proofErr w:type="spellStart"/>
            <w:r w:rsidRPr="005B2604">
              <w:rPr>
                <w:rFonts w:cstheme="minorHAnsi"/>
                <w:sz w:val="18"/>
                <w:szCs w:val="18"/>
              </w:rPr>
              <w:t>expl</w:t>
            </w:r>
            <w:proofErr w:type="spellEnd"/>
            <w:r w:rsidRPr="005B2604">
              <w:rPr>
                <w:rFonts w:cstheme="minorHAnsi"/>
                <w:sz w:val="18"/>
                <w:szCs w:val="18"/>
              </w:rPr>
              <w:t xml:space="preserve"> x react</w:t>
            </w:r>
            <w:r w:rsidR="0035771D">
              <w:rPr>
                <w:rFonts w:cstheme="minorHAnsi"/>
                <w:sz w:val="18"/>
                <w:szCs w:val="18"/>
              </w:rPr>
              <w:t xml:space="preserve"> x ease of </w:t>
            </w:r>
            <w:proofErr w:type="gramStart"/>
            <w:r w:rsidR="0035771D">
              <w:rPr>
                <w:rFonts w:cstheme="minorHAnsi"/>
                <w:sz w:val="18"/>
                <w:szCs w:val="18"/>
              </w:rPr>
              <w:t>drying</w:t>
            </w:r>
            <w:r w:rsidRPr="005B2604">
              <w:rPr>
                <w:rFonts w:cstheme="minorHAnsi"/>
                <w:sz w:val="18"/>
                <w:szCs w:val="18"/>
              </w:rPr>
              <w:t>)^</w:t>
            </w:r>
            <w:proofErr w:type="gramEnd"/>
            <w:r w:rsidRPr="005B2604">
              <w:rPr>
                <w:rFonts w:cstheme="minorHAnsi"/>
                <w:sz w:val="18"/>
                <w:szCs w:val="18"/>
              </w:rPr>
              <w:t>1/</w:t>
            </w:r>
            <w:r w:rsidR="00DA432C">
              <w:rPr>
                <w:rFonts w:cstheme="minorHAnsi"/>
                <w:sz w:val="18"/>
                <w:szCs w:val="18"/>
              </w:rPr>
              <w:t>5</w:t>
            </w:r>
          </w:p>
        </w:tc>
      </w:tr>
      <w:tr w:rsidR="005B2604" w:rsidRPr="005B2604" w14:paraId="151F01F2" w14:textId="77777777" w:rsidTr="005B2604">
        <w:trPr>
          <w:cantSplit/>
          <w:trHeight w:val="320"/>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61BF3D3D" w14:textId="77777777" w:rsidR="005B2604" w:rsidRPr="005B2604" w:rsidRDefault="005B2604" w:rsidP="005B2604">
            <w:pPr>
              <w:rPr>
                <w:rFonts w:cstheme="minorHAnsi"/>
                <w:sz w:val="18"/>
                <w:szCs w:val="18"/>
              </w:rPr>
            </w:pPr>
            <w:r w:rsidRPr="005B2604">
              <w:rPr>
                <w:rFonts w:cstheme="minorHAnsi"/>
                <w:sz w:val="18"/>
                <w:szCs w:val="18"/>
              </w:rPr>
              <w:t>3 - biotreatment</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009D334B" w14:textId="77777777" w:rsidR="005B2604" w:rsidRPr="005B2604" w:rsidRDefault="005B2604" w:rsidP="005B2604">
            <w:pPr>
              <w:rPr>
                <w:rFonts w:cstheme="minorHAnsi"/>
                <w:sz w:val="18"/>
                <w:szCs w:val="18"/>
              </w:rPr>
            </w:pPr>
            <w:r w:rsidRPr="005B2604">
              <w:rPr>
                <w:rFonts w:cstheme="minorHAnsi"/>
                <w:sz w:val="18"/>
                <w:szCs w:val="18"/>
              </w:rPr>
              <w:t xml:space="preserve">Does not include component for release to air that previous guide did </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29C56777" w14:textId="77777777" w:rsidR="005B2604" w:rsidRPr="005B2604" w:rsidRDefault="005B2604" w:rsidP="005B2604">
            <w:pPr>
              <w:rPr>
                <w:rFonts w:cstheme="minorHAnsi"/>
                <w:sz w:val="18"/>
                <w:szCs w:val="18"/>
              </w:rPr>
            </w:pPr>
            <w:r w:rsidRPr="005B2604">
              <w:rPr>
                <w:rFonts w:cstheme="minorHAnsi"/>
                <w:sz w:val="18"/>
                <w:szCs w:val="18"/>
              </w:rPr>
              <w:t xml:space="preserve">Does not include component for release to air that previous guide did </w:t>
            </w:r>
          </w:p>
        </w:tc>
      </w:tr>
      <w:tr w:rsidR="005B2604" w:rsidRPr="005B2604" w14:paraId="416A77A3" w14:textId="77777777" w:rsidTr="005B2604">
        <w:trPr>
          <w:cantSplit/>
          <w:trHeight w:val="320"/>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619A6B5B" w14:textId="77777777" w:rsidR="005B2604" w:rsidRPr="005B2604" w:rsidRDefault="005B2604" w:rsidP="005B2604">
            <w:pPr>
              <w:rPr>
                <w:rFonts w:cstheme="minorHAnsi"/>
                <w:sz w:val="18"/>
                <w:szCs w:val="18"/>
              </w:rPr>
            </w:pPr>
            <w:r w:rsidRPr="005B2604">
              <w:rPr>
                <w:rFonts w:cstheme="minorHAnsi"/>
                <w:sz w:val="18"/>
                <w:szCs w:val="18"/>
              </w:rPr>
              <w:t>4 - VOC emissions</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7C155A5C" w14:textId="77777777" w:rsidR="005B2604" w:rsidRPr="005B2604" w:rsidRDefault="005B2604" w:rsidP="005B2604">
            <w:pPr>
              <w:rPr>
                <w:rFonts w:cstheme="minorHAnsi"/>
                <w:sz w:val="18"/>
                <w:szCs w:val="18"/>
              </w:rPr>
            </w:pPr>
            <w:r w:rsidRPr="005B2604">
              <w:rPr>
                <w:rFonts w:cstheme="minorHAnsi"/>
                <w:sz w:val="18"/>
                <w:szCs w:val="18"/>
              </w:rPr>
              <w:t>unchanged</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5A386AEA" w14:textId="77777777" w:rsidR="005B2604" w:rsidRPr="005B2604" w:rsidRDefault="005B2604" w:rsidP="005B2604">
            <w:pPr>
              <w:rPr>
                <w:rFonts w:cstheme="minorHAnsi"/>
                <w:sz w:val="18"/>
                <w:szCs w:val="18"/>
              </w:rPr>
            </w:pPr>
            <w:r w:rsidRPr="005B2604">
              <w:rPr>
                <w:rFonts w:cstheme="minorHAnsi"/>
                <w:sz w:val="18"/>
                <w:szCs w:val="18"/>
              </w:rPr>
              <w:t>unchanged</w:t>
            </w:r>
          </w:p>
        </w:tc>
      </w:tr>
      <w:tr w:rsidR="005B2604" w:rsidRPr="005B2604" w14:paraId="741B9FFE" w14:textId="77777777" w:rsidTr="005B2604">
        <w:trPr>
          <w:cantSplit/>
          <w:trHeight w:val="569"/>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2C7C7FE2" w14:textId="77777777" w:rsidR="005B2604" w:rsidRPr="005B2604" w:rsidRDefault="005B2604" w:rsidP="005B2604">
            <w:pPr>
              <w:rPr>
                <w:rFonts w:cstheme="minorHAnsi"/>
                <w:sz w:val="18"/>
                <w:szCs w:val="18"/>
              </w:rPr>
            </w:pPr>
            <w:r w:rsidRPr="005B2604">
              <w:rPr>
                <w:rFonts w:cstheme="minorHAnsi"/>
                <w:sz w:val="18"/>
                <w:szCs w:val="18"/>
              </w:rPr>
              <w:t>5 - water impact</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3F42C882" w14:textId="77777777" w:rsidR="005B2604" w:rsidRPr="005B2604" w:rsidRDefault="005B2604" w:rsidP="005B2604">
            <w:pPr>
              <w:rPr>
                <w:rFonts w:cstheme="minorHAnsi"/>
                <w:sz w:val="18"/>
                <w:szCs w:val="18"/>
              </w:rPr>
            </w:pPr>
            <w:r w:rsidRPr="005B2604">
              <w:rPr>
                <w:rFonts w:cstheme="minorHAnsi"/>
                <w:sz w:val="18"/>
                <w:szCs w:val="18"/>
              </w:rPr>
              <w:t>unchanged</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0013010A" w14:textId="77777777" w:rsidR="005B2604" w:rsidRPr="005B2604" w:rsidRDefault="005B2604" w:rsidP="005B2604">
            <w:pPr>
              <w:rPr>
                <w:rFonts w:cstheme="minorHAnsi"/>
                <w:sz w:val="18"/>
                <w:szCs w:val="18"/>
              </w:rPr>
            </w:pPr>
            <w:r w:rsidRPr="005B2604">
              <w:rPr>
                <w:rFonts w:cstheme="minorHAnsi"/>
                <w:sz w:val="18"/>
                <w:szCs w:val="18"/>
              </w:rPr>
              <w:t>unchanged</w:t>
            </w:r>
          </w:p>
        </w:tc>
      </w:tr>
      <w:tr w:rsidR="005B2604" w:rsidRPr="005B2604" w14:paraId="731EAFAA" w14:textId="77777777" w:rsidTr="005B2604">
        <w:trPr>
          <w:cantSplit/>
          <w:trHeight w:val="321"/>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62D5B86D" w14:textId="77777777" w:rsidR="005B2604" w:rsidRPr="005B2604" w:rsidRDefault="005B2604" w:rsidP="005B2604">
            <w:pPr>
              <w:rPr>
                <w:rFonts w:cstheme="minorHAnsi"/>
                <w:sz w:val="18"/>
                <w:szCs w:val="18"/>
              </w:rPr>
            </w:pPr>
            <w:r w:rsidRPr="005B2604">
              <w:rPr>
                <w:rFonts w:cstheme="minorHAnsi"/>
                <w:sz w:val="18"/>
                <w:szCs w:val="18"/>
              </w:rPr>
              <w:t>6 - air impact</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3C111D77" w14:textId="77777777" w:rsidR="005B2604" w:rsidRPr="005B2604" w:rsidRDefault="005B2604" w:rsidP="005B2604">
            <w:pPr>
              <w:rPr>
                <w:rFonts w:cstheme="minorHAnsi"/>
                <w:sz w:val="18"/>
                <w:szCs w:val="18"/>
              </w:rPr>
            </w:pPr>
            <w:r w:rsidRPr="005B2604">
              <w:rPr>
                <w:rFonts w:cstheme="minorHAnsi"/>
                <w:sz w:val="18"/>
                <w:szCs w:val="18"/>
              </w:rPr>
              <w:t>SPCP added</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77A43F56" w14:textId="77777777" w:rsidR="005B2604" w:rsidRPr="005B2604" w:rsidRDefault="005B2604" w:rsidP="005B2604">
            <w:pPr>
              <w:rPr>
                <w:rFonts w:cstheme="minorHAnsi"/>
                <w:sz w:val="18"/>
                <w:szCs w:val="18"/>
              </w:rPr>
            </w:pPr>
            <w:r w:rsidRPr="005B2604">
              <w:rPr>
                <w:rFonts w:cstheme="minorHAnsi"/>
                <w:sz w:val="18"/>
                <w:szCs w:val="18"/>
              </w:rPr>
              <w:t>unchanged</w:t>
            </w:r>
          </w:p>
        </w:tc>
      </w:tr>
      <w:tr w:rsidR="005B2604" w:rsidRPr="005B2604" w14:paraId="4822098F" w14:textId="77777777" w:rsidTr="005B2604">
        <w:trPr>
          <w:cantSplit/>
          <w:trHeight w:val="1095"/>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7B45FC79" w14:textId="77777777" w:rsidR="005B2604" w:rsidRPr="005B2604" w:rsidRDefault="005B2604" w:rsidP="005B2604">
            <w:pPr>
              <w:rPr>
                <w:rFonts w:cstheme="minorHAnsi"/>
                <w:sz w:val="18"/>
                <w:szCs w:val="18"/>
              </w:rPr>
            </w:pPr>
            <w:r w:rsidRPr="005B2604">
              <w:rPr>
                <w:rFonts w:cstheme="minorHAnsi"/>
                <w:sz w:val="18"/>
                <w:szCs w:val="18"/>
              </w:rPr>
              <w:t>7 - health</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46F3A791" w14:textId="77777777" w:rsidR="005B2604" w:rsidRPr="005B2604" w:rsidRDefault="005B2604" w:rsidP="005B2604">
            <w:pPr>
              <w:rPr>
                <w:rFonts w:cstheme="minorHAnsi"/>
                <w:sz w:val="18"/>
                <w:szCs w:val="18"/>
              </w:rPr>
            </w:pPr>
            <w:r w:rsidRPr="005B2604">
              <w:rPr>
                <w:rFonts w:cstheme="minorHAnsi"/>
                <w:sz w:val="18"/>
                <w:szCs w:val="18"/>
              </w:rPr>
              <w:t xml:space="preserve">flowchart logic changed slightly, as if </w:t>
            </w:r>
            <w:r w:rsidRPr="005B2604">
              <w:rPr>
                <w:rFonts w:cstheme="minorHAnsi"/>
                <w:bCs/>
                <w:sz w:val="18"/>
                <w:szCs w:val="18"/>
              </w:rPr>
              <w:t>no OEL value is available the score is based solely on the GHS phrases.</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0C703807" w14:textId="77777777" w:rsidR="005B2604" w:rsidRPr="005B2604" w:rsidRDefault="005B2604" w:rsidP="005B2604">
            <w:pPr>
              <w:rPr>
                <w:rFonts w:cstheme="minorHAnsi"/>
                <w:b/>
                <w:bCs/>
                <w:sz w:val="18"/>
                <w:szCs w:val="18"/>
              </w:rPr>
            </w:pPr>
            <w:r w:rsidRPr="005B2604">
              <w:rPr>
                <w:rFonts w:cstheme="minorHAnsi"/>
                <w:sz w:val="18"/>
                <w:szCs w:val="18"/>
              </w:rPr>
              <w:t xml:space="preserve">flowchart logic changed slightly, as if </w:t>
            </w:r>
            <w:r w:rsidRPr="005B2604">
              <w:rPr>
                <w:rFonts w:cstheme="minorHAnsi"/>
                <w:bCs/>
                <w:sz w:val="18"/>
                <w:szCs w:val="18"/>
              </w:rPr>
              <w:t>no OEL value is available the score is based solely on the GHS phrases.</w:t>
            </w:r>
          </w:p>
        </w:tc>
      </w:tr>
      <w:tr w:rsidR="005B2604" w:rsidRPr="005B2604" w14:paraId="37B18F91" w14:textId="77777777" w:rsidTr="005B2604">
        <w:trPr>
          <w:cantSplit/>
          <w:trHeight w:val="321"/>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5CD58272" w14:textId="77777777" w:rsidR="005B2604" w:rsidRPr="005B2604" w:rsidRDefault="005B2604" w:rsidP="005B2604">
            <w:pPr>
              <w:rPr>
                <w:rFonts w:cstheme="minorHAnsi"/>
                <w:sz w:val="18"/>
                <w:szCs w:val="18"/>
              </w:rPr>
            </w:pPr>
            <w:r w:rsidRPr="005B2604">
              <w:rPr>
                <w:rFonts w:cstheme="minorHAnsi"/>
                <w:sz w:val="18"/>
                <w:szCs w:val="18"/>
              </w:rPr>
              <w:t>8 - exposure potential</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05FA44E8" w14:textId="77777777" w:rsidR="005B2604" w:rsidRPr="005B2604" w:rsidRDefault="005B2604" w:rsidP="005B2604">
            <w:pPr>
              <w:rPr>
                <w:rFonts w:cstheme="minorHAnsi"/>
                <w:sz w:val="18"/>
                <w:szCs w:val="18"/>
              </w:rPr>
            </w:pPr>
            <w:r w:rsidRPr="005B2604">
              <w:rPr>
                <w:rFonts w:cstheme="minorHAnsi"/>
                <w:sz w:val="18"/>
                <w:szCs w:val="18"/>
              </w:rPr>
              <w:t>unchanged</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6D322490" w14:textId="77777777" w:rsidR="005B2604" w:rsidRPr="005B2604" w:rsidRDefault="005B2604" w:rsidP="005B2604">
            <w:pPr>
              <w:rPr>
                <w:rFonts w:cstheme="minorHAnsi"/>
                <w:sz w:val="18"/>
                <w:szCs w:val="18"/>
              </w:rPr>
            </w:pPr>
            <w:r w:rsidRPr="005B2604">
              <w:rPr>
                <w:rFonts w:cstheme="minorHAnsi"/>
                <w:sz w:val="18"/>
                <w:szCs w:val="18"/>
              </w:rPr>
              <w:t>unchanged</w:t>
            </w:r>
          </w:p>
        </w:tc>
      </w:tr>
      <w:tr w:rsidR="005B2604" w:rsidRPr="005B2604" w14:paraId="2D0C78FF" w14:textId="77777777" w:rsidTr="005B2604">
        <w:trPr>
          <w:cantSplit/>
          <w:trHeight w:val="342"/>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31DD6CD7" w14:textId="77777777" w:rsidR="005B2604" w:rsidRPr="005B2604" w:rsidRDefault="005B2604" w:rsidP="005B2604">
            <w:pPr>
              <w:rPr>
                <w:rFonts w:cstheme="minorHAnsi"/>
                <w:sz w:val="18"/>
                <w:szCs w:val="18"/>
              </w:rPr>
            </w:pPr>
            <w:r w:rsidRPr="005B2604">
              <w:rPr>
                <w:rFonts w:cstheme="minorHAnsi"/>
                <w:sz w:val="18"/>
                <w:szCs w:val="18"/>
              </w:rPr>
              <w:t>9 - flammability/explosivity</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16A552AB" w14:textId="77777777" w:rsidR="005B2604" w:rsidRPr="005B2604" w:rsidRDefault="005B2604" w:rsidP="005B2604">
            <w:pPr>
              <w:rPr>
                <w:rFonts w:cstheme="minorHAnsi"/>
                <w:sz w:val="18"/>
                <w:szCs w:val="18"/>
              </w:rPr>
            </w:pPr>
            <w:r w:rsidRPr="005B2604">
              <w:rPr>
                <w:rFonts w:cstheme="minorHAnsi"/>
                <w:sz w:val="18"/>
                <w:szCs w:val="18"/>
              </w:rPr>
              <w:t>unchanged</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5F612670" w14:textId="77777777" w:rsidR="005B2604" w:rsidRPr="005B2604" w:rsidRDefault="005B2604" w:rsidP="005B2604">
            <w:pPr>
              <w:rPr>
                <w:rFonts w:cstheme="minorHAnsi"/>
                <w:sz w:val="18"/>
                <w:szCs w:val="18"/>
              </w:rPr>
            </w:pPr>
            <w:r w:rsidRPr="005B2604">
              <w:rPr>
                <w:rFonts w:cstheme="minorHAnsi"/>
                <w:sz w:val="18"/>
                <w:szCs w:val="18"/>
              </w:rPr>
              <w:t>unchanged</w:t>
            </w:r>
          </w:p>
        </w:tc>
      </w:tr>
      <w:tr w:rsidR="005B2604" w:rsidRPr="005B2604" w14:paraId="52218E9C" w14:textId="77777777" w:rsidTr="005B2604">
        <w:trPr>
          <w:cantSplit/>
          <w:trHeight w:val="350"/>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528A8E1A" w14:textId="77777777" w:rsidR="005B2604" w:rsidRPr="005B2604" w:rsidRDefault="005B2604" w:rsidP="005B2604">
            <w:pPr>
              <w:rPr>
                <w:rFonts w:cstheme="minorHAnsi"/>
                <w:sz w:val="18"/>
                <w:szCs w:val="18"/>
              </w:rPr>
            </w:pPr>
            <w:r w:rsidRPr="005B2604">
              <w:rPr>
                <w:rFonts w:cstheme="minorHAnsi"/>
                <w:sz w:val="18"/>
                <w:szCs w:val="18"/>
              </w:rPr>
              <w:t>10 - reactivity</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287A4F84" w14:textId="77777777" w:rsidR="005B2604" w:rsidRPr="005B2604" w:rsidRDefault="005B2604" w:rsidP="005B2604">
            <w:pPr>
              <w:rPr>
                <w:rFonts w:cstheme="minorHAnsi"/>
                <w:sz w:val="18"/>
                <w:szCs w:val="18"/>
              </w:rPr>
            </w:pPr>
            <w:r w:rsidRPr="005B2604">
              <w:rPr>
                <w:rFonts w:cstheme="minorHAnsi"/>
                <w:sz w:val="18"/>
                <w:szCs w:val="18"/>
              </w:rPr>
              <w:t>Unlike the GSK Solvent Sustainability Guide, the reactivity and stability score did not include a component for special hazards, to capture any special or unusual hazards such as pyrophoric or shock sensitive solvents, as unsurprisingly for solvents used in paints and coatings, none were found to meet this criterion.</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77494D25" w14:textId="433ADFAC" w:rsidR="005B2604" w:rsidRPr="005B2604" w:rsidRDefault="005B2604" w:rsidP="005B2604">
            <w:pPr>
              <w:rPr>
                <w:rFonts w:cstheme="minorHAnsi"/>
                <w:sz w:val="18"/>
                <w:szCs w:val="18"/>
              </w:rPr>
            </w:pPr>
            <w:r w:rsidRPr="005B2604">
              <w:rPr>
                <w:rFonts w:cstheme="minorHAnsi"/>
                <w:sz w:val="18"/>
                <w:szCs w:val="18"/>
              </w:rPr>
              <w:t>Unlike the GSK Solvent Sustainability Guide, the reactivity and stability score did not include a component for special hazards, to capture any special or unusual hazards such as pyrophoric or shock sensitive solvents, as unsurprisingly for solvents used in paints and coatings, none were found to meet this criterion.</w:t>
            </w:r>
          </w:p>
        </w:tc>
      </w:tr>
      <w:tr w:rsidR="005B2604" w:rsidRPr="005B2604" w14:paraId="7AC5A038" w14:textId="77777777" w:rsidTr="005B2604">
        <w:trPr>
          <w:cantSplit/>
          <w:trHeight w:val="320"/>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6C68CE69" w14:textId="77777777" w:rsidR="005B2604" w:rsidRPr="005B2604" w:rsidRDefault="005B2604" w:rsidP="005B2604">
            <w:pPr>
              <w:rPr>
                <w:rFonts w:cstheme="minorHAnsi"/>
                <w:sz w:val="18"/>
                <w:szCs w:val="18"/>
              </w:rPr>
            </w:pPr>
            <w:r w:rsidRPr="005B2604">
              <w:rPr>
                <w:rFonts w:cstheme="minorHAnsi"/>
                <w:sz w:val="18"/>
                <w:szCs w:val="18"/>
              </w:rPr>
              <w:t>11 - GWP</w:t>
            </w:r>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0BC386E3" w14:textId="77777777" w:rsidR="005B2604" w:rsidRPr="005B2604" w:rsidRDefault="005B2604" w:rsidP="005B2604">
            <w:pPr>
              <w:rPr>
                <w:rFonts w:cstheme="minorHAnsi"/>
                <w:sz w:val="18"/>
                <w:szCs w:val="18"/>
              </w:rPr>
            </w:pPr>
            <w:r w:rsidRPr="005B2604">
              <w:rPr>
                <w:rFonts w:cstheme="minorHAnsi"/>
                <w:sz w:val="18"/>
                <w:szCs w:val="18"/>
              </w:rPr>
              <w:t>new for this guide</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671A65F0" w14:textId="77777777" w:rsidR="005B2604" w:rsidRPr="005B2604" w:rsidRDefault="005B2604" w:rsidP="005B2604">
            <w:pPr>
              <w:rPr>
                <w:rFonts w:cstheme="minorHAnsi"/>
                <w:sz w:val="18"/>
                <w:szCs w:val="18"/>
              </w:rPr>
            </w:pPr>
            <w:r w:rsidRPr="005B2604">
              <w:rPr>
                <w:rFonts w:cstheme="minorHAnsi"/>
                <w:sz w:val="18"/>
                <w:szCs w:val="18"/>
              </w:rPr>
              <w:t>new for this guide</w:t>
            </w:r>
          </w:p>
        </w:tc>
      </w:tr>
      <w:tr w:rsidR="005B2604" w:rsidRPr="005B2604" w14:paraId="1CBDBB03" w14:textId="77777777" w:rsidTr="005B2604">
        <w:trPr>
          <w:cantSplit/>
          <w:trHeight w:val="324"/>
        </w:trPr>
        <w:tc>
          <w:tcPr>
            <w:tcW w:w="1928" w:type="dxa"/>
            <w:tcBorders>
              <w:top w:val="single" w:sz="6" w:space="0" w:color="ABABAB"/>
              <w:left w:val="single" w:sz="6" w:space="0" w:color="ABABAB"/>
              <w:bottom w:val="single" w:sz="6" w:space="0" w:color="ABABAB"/>
              <w:right w:val="single" w:sz="6" w:space="0" w:color="ABABAB"/>
            </w:tcBorders>
            <w:shd w:val="clear" w:color="auto" w:fill="auto"/>
            <w:hideMark/>
          </w:tcPr>
          <w:p w14:paraId="0AA0841A" w14:textId="77777777" w:rsidR="005B2604" w:rsidRPr="005B2604" w:rsidRDefault="005B2604" w:rsidP="005B2604">
            <w:pPr>
              <w:rPr>
                <w:rFonts w:cstheme="minorHAnsi"/>
                <w:sz w:val="18"/>
                <w:szCs w:val="18"/>
              </w:rPr>
            </w:pPr>
            <w:r w:rsidRPr="005B2604">
              <w:rPr>
                <w:rFonts w:cstheme="minorHAnsi"/>
                <w:sz w:val="18"/>
                <w:szCs w:val="18"/>
              </w:rPr>
              <w:t xml:space="preserve">12 - </w:t>
            </w:r>
            <w:proofErr w:type="spellStart"/>
            <w:r w:rsidRPr="005B2604">
              <w:rPr>
                <w:rFonts w:cstheme="minorHAnsi"/>
                <w:sz w:val="18"/>
                <w:szCs w:val="18"/>
              </w:rPr>
              <w:t>biosourcing</w:t>
            </w:r>
            <w:proofErr w:type="spellEnd"/>
          </w:p>
        </w:tc>
        <w:tc>
          <w:tcPr>
            <w:tcW w:w="3663" w:type="dxa"/>
            <w:tcBorders>
              <w:top w:val="single" w:sz="6" w:space="0" w:color="ABABAB"/>
              <w:left w:val="single" w:sz="6" w:space="0" w:color="ABABAB"/>
              <w:bottom w:val="single" w:sz="6" w:space="0" w:color="ABABAB"/>
              <w:right w:val="single" w:sz="6" w:space="0" w:color="ABABAB"/>
            </w:tcBorders>
            <w:shd w:val="clear" w:color="auto" w:fill="auto"/>
            <w:hideMark/>
          </w:tcPr>
          <w:p w14:paraId="4AF88162" w14:textId="77777777" w:rsidR="005B2604" w:rsidRPr="005B2604" w:rsidRDefault="005B2604" w:rsidP="005B2604">
            <w:pPr>
              <w:rPr>
                <w:rFonts w:cstheme="minorHAnsi"/>
                <w:sz w:val="18"/>
                <w:szCs w:val="18"/>
              </w:rPr>
            </w:pPr>
            <w:r w:rsidRPr="005B2604">
              <w:rPr>
                <w:rFonts w:cstheme="minorHAnsi"/>
                <w:sz w:val="18"/>
                <w:szCs w:val="18"/>
              </w:rPr>
              <w:t>new for this guide</w:t>
            </w:r>
          </w:p>
        </w:tc>
        <w:tc>
          <w:tcPr>
            <w:tcW w:w="5074" w:type="dxa"/>
            <w:tcBorders>
              <w:top w:val="single" w:sz="6" w:space="0" w:color="ABABAB"/>
              <w:left w:val="single" w:sz="6" w:space="0" w:color="ABABAB"/>
              <w:bottom w:val="single" w:sz="6" w:space="0" w:color="ABABAB"/>
              <w:right w:val="single" w:sz="6" w:space="0" w:color="ABABAB"/>
            </w:tcBorders>
            <w:shd w:val="clear" w:color="auto" w:fill="auto"/>
            <w:hideMark/>
          </w:tcPr>
          <w:p w14:paraId="3A885F53" w14:textId="77777777" w:rsidR="005B2604" w:rsidRPr="005B2604" w:rsidRDefault="005B2604" w:rsidP="005B2604">
            <w:pPr>
              <w:rPr>
                <w:rFonts w:cstheme="minorHAnsi"/>
                <w:sz w:val="18"/>
                <w:szCs w:val="18"/>
              </w:rPr>
            </w:pPr>
            <w:r w:rsidRPr="005B2604">
              <w:rPr>
                <w:rFonts w:cstheme="minorHAnsi"/>
                <w:sz w:val="18"/>
                <w:szCs w:val="18"/>
              </w:rPr>
              <w:t>new for this guide</w:t>
            </w:r>
          </w:p>
        </w:tc>
      </w:tr>
    </w:tbl>
    <w:p w14:paraId="017172BC" w14:textId="77777777" w:rsidR="0083245C" w:rsidRPr="005B2604" w:rsidRDefault="0083245C">
      <w:pPr>
        <w:rPr>
          <w:rFonts w:cstheme="minorHAnsi"/>
          <w:sz w:val="18"/>
          <w:szCs w:val="18"/>
        </w:rPr>
      </w:pPr>
    </w:p>
    <w:sectPr w:rsidR="0083245C" w:rsidRPr="005B2604" w:rsidSect="006305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03A77"/>
    <w:rsid w:val="00051F0D"/>
    <w:rsid w:val="00103A77"/>
    <w:rsid w:val="0016050C"/>
    <w:rsid w:val="0035771D"/>
    <w:rsid w:val="00590B3A"/>
    <w:rsid w:val="005B2604"/>
    <w:rsid w:val="0062446F"/>
    <w:rsid w:val="00630536"/>
    <w:rsid w:val="00647290"/>
    <w:rsid w:val="006F5FB2"/>
    <w:rsid w:val="0083245C"/>
    <w:rsid w:val="00DA432C"/>
    <w:rsid w:val="00E4173E"/>
    <w:rsid w:val="00EF3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23D0"/>
  <w15:chartTrackingRefBased/>
  <w15:docId w15:val="{177FAECA-D511-435F-AC13-02D2A384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10128">
      <w:bodyDiv w:val="1"/>
      <w:marLeft w:val="0"/>
      <w:marRight w:val="0"/>
      <w:marTop w:val="0"/>
      <w:marBottom w:val="0"/>
      <w:divBdr>
        <w:top w:val="none" w:sz="0" w:space="0" w:color="auto"/>
        <w:left w:val="none" w:sz="0" w:space="0" w:color="auto"/>
        <w:bottom w:val="none" w:sz="0" w:space="0" w:color="auto"/>
        <w:right w:val="none" w:sz="0" w:space="0" w:color="auto"/>
      </w:divBdr>
      <w:divsChild>
        <w:div w:id="827130495">
          <w:marLeft w:val="0"/>
          <w:marRight w:val="0"/>
          <w:marTop w:val="0"/>
          <w:marBottom w:val="0"/>
          <w:divBdr>
            <w:top w:val="none" w:sz="0" w:space="0" w:color="auto"/>
            <w:left w:val="none" w:sz="0" w:space="0" w:color="auto"/>
            <w:bottom w:val="none" w:sz="0" w:space="0" w:color="auto"/>
            <w:right w:val="none" w:sz="0" w:space="0" w:color="auto"/>
          </w:divBdr>
        </w:div>
        <w:div w:id="933052376">
          <w:marLeft w:val="0"/>
          <w:marRight w:val="0"/>
          <w:marTop w:val="0"/>
          <w:marBottom w:val="0"/>
          <w:divBdr>
            <w:top w:val="none" w:sz="0" w:space="0" w:color="auto"/>
            <w:left w:val="none" w:sz="0" w:space="0" w:color="auto"/>
            <w:bottom w:val="none" w:sz="0" w:space="0" w:color="auto"/>
            <w:right w:val="none" w:sz="0" w:space="0" w:color="auto"/>
          </w:divBdr>
        </w:div>
        <w:div w:id="1325668496">
          <w:marLeft w:val="0"/>
          <w:marRight w:val="0"/>
          <w:marTop w:val="0"/>
          <w:marBottom w:val="0"/>
          <w:divBdr>
            <w:top w:val="none" w:sz="0" w:space="0" w:color="auto"/>
            <w:left w:val="none" w:sz="0" w:space="0" w:color="auto"/>
            <w:bottom w:val="none" w:sz="0" w:space="0" w:color="auto"/>
            <w:right w:val="none" w:sz="0" w:space="0" w:color="auto"/>
          </w:divBdr>
        </w:div>
        <w:div w:id="1603144104">
          <w:marLeft w:val="0"/>
          <w:marRight w:val="0"/>
          <w:marTop w:val="0"/>
          <w:marBottom w:val="0"/>
          <w:divBdr>
            <w:top w:val="none" w:sz="0" w:space="0" w:color="auto"/>
            <w:left w:val="none" w:sz="0" w:space="0" w:color="auto"/>
            <w:bottom w:val="none" w:sz="0" w:space="0" w:color="auto"/>
            <w:right w:val="none" w:sz="0" w:space="0" w:color="auto"/>
          </w:divBdr>
        </w:div>
        <w:div w:id="2130080261">
          <w:marLeft w:val="0"/>
          <w:marRight w:val="0"/>
          <w:marTop w:val="0"/>
          <w:marBottom w:val="0"/>
          <w:divBdr>
            <w:top w:val="none" w:sz="0" w:space="0" w:color="auto"/>
            <w:left w:val="none" w:sz="0" w:space="0" w:color="auto"/>
            <w:bottom w:val="none" w:sz="0" w:space="0" w:color="auto"/>
            <w:right w:val="none" w:sz="0" w:space="0" w:color="auto"/>
          </w:divBdr>
        </w:div>
        <w:div w:id="1727677327">
          <w:marLeft w:val="0"/>
          <w:marRight w:val="0"/>
          <w:marTop w:val="0"/>
          <w:marBottom w:val="0"/>
          <w:divBdr>
            <w:top w:val="none" w:sz="0" w:space="0" w:color="auto"/>
            <w:left w:val="none" w:sz="0" w:space="0" w:color="auto"/>
            <w:bottom w:val="none" w:sz="0" w:space="0" w:color="auto"/>
            <w:right w:val="none" w:sz="0" w:space="0" w:color="auto"/>
          </w:divBdr>
        </w:div>
        <w:div w:id="1846361791">
          <w:marLeft w:val="0"/>
          <w:marRight w:val="0"/>
          <w:marTop w:val="0"/>
          <w:marBottom w:val="0"/>
          <w:divBdr>
            <w:top w:val="none" w:sz="0" w:space="0" w:color="auto"/>
            <w:left w:val="none" w:sz="0" w:space="0" w:color="auto"/>
            <w:bottom w:val="none" w:sz="0" w:space="0" w:color="auto"/>
            <w:right w:val="none" w:sz="0" w:space="0" w:color="auto"/>
          </w:divBdr>
        </w:div>
        <w:div w:id="1357392300">
          <w:marLeft w:val="0"/>
          <w:marRight w:val="0"/>
          <w:marTop w:val="0"/>
          <w:marBottom w:val="0"/>
          <w:divBdr>
            <w:top w:val="none" w:sz="0" w:space="0" w:color="auto"/>
            <w:left w:val="none" w:sz="0" w:space="0" w:color="auto"/>
            <w:bottom w:val="none" w:sz="0" w:space="0" w:color="auto"/>
            <w:right w:val="none" w:sz="0" w:space="0" w:color="auto"/>
          </w:divBdr>
        </w:div>
        <w:div w:id="985083353">
          <w:marLeft w:val="0"/>
          <w:marRight w:val="0"/>
          <w:marTop w:val="0"/>
          <w:marBottom w:val="0"/>
          <w:divBdr>
            <w:top w:val="none" w:sz="0" w:space="0" w:color="auto"/>
            <w:left w:val="none" w:sz="0" w:space="0" w:color="auto"/>
            <w:bottom w:val="none" w:sz="0" w:space="0" w:color="auto"/>
            <w:right w:val="none" w:sz="0" w:space="0" w:color="auto"/>
          </w:divBdr>
        </w:div>
        <w:div w:id="1906210937">
          <w:marLeft w:val="0"/>
          <w:marRight w:val="0"/>
          <w:marTop w:val="0"/>
          <w:marBottom w:val="0"/>
          <w:divBdr>
            <w:top w:val="none" w:sz="0" w:space="0" w:color="auto"/>
            <w:left w:val="none" w:sz="0" w:space="0" w:color="auto"/>
            <w:bottom w:val="none" w:sz="0" w:space="0" w:color="auto"/>
            <w:right w:val="none" w:sz="0" w:space="0" w:color="auto"/>
          </w:divBdr>
        </w:div>
        <w:div w:id="1676108189">
          <w:marLeft w:val="0"/>
          <w:marRight w:val="0"/>
          <w:marTop w:val="0"/>
          <w:marBottom w:val="0"/>
          <w:divBdr>
            <w:top w:val="none" w:sz="0" w:space="0" w:color="auto"/>
            <w:left w:val="none" w:sz="0" w:space="0" w:color="auto"/>
            <w:bottom w:val="none" w:sz="0" w:space="0" w:color="auto"/>
            <w:right w:val="none" w:sz="0" w:space="0" w:color="auto"/>
          </w:divBdr>
        </w:div>
        <w:div w:id="2019580670">
          <w:marLeft w:val="0"/>
          <w:marRight w:val="0"/>
          <w:marTop w:val="0"/>
          <w:marBottom w:val="0"/>
          <w:divBdr>
            <w:top w:val="none" w:sz="0" w:space="0" w:color="auto"/>
            <w:left w:val="none" w:sz="0" w:space="0" w:color="auto"/>
            <w:bottom w:val="none" w:sz="0" w:space="0" w:color="auto"/>
            <w:right w:val="none" w:sz="0" w:space="0" w:color="auto"/>
          </w:divBdr>
        </w:div>
        <w:div w:id="1589383886">
          <w:marLeft w:val="0"/>
          <w:marRight w:val="0"/>
          <w:marTop w:val="0"/>
          <w:marBottom w:val="0"/>
          <w:divBdr>
            <w:top w:val="none" w:sz="0" w:space="0" w:color="auto"/>
            <w:left w:val="none" w:sz="0" w:space="0" w:color="auto"/>
            <w:bottom w:val="none" w:sz="0" w:space="0" w:color="auto"/>
            <w:right w:val="none" w:sz="0" w:space="0" w:color="auto"/>
          </w:divBdr>
        </w:div>
        <w:div w:id="125245530">
          <w:marLeft w:val="0"/>
          <w:marRight w:val="0"/>
          <w:marTop w:val="0"/>
          <w:marBottom w:val="0"/>
          <w:divBdr>
            <w:top w:val="none" w:sz="0" w:space="0" w:color="auto"/>
            <w:left w:val="none" w:sz="0" w:space="0" w:color="auto"/>
            <w:bottom w:val="none" w:sz="0" w:space="0" w:color="auto"/>
            <w:right w:val="none" w:sz="0" w:space="0" w:color="auto"/>
          </w:divBdr>
        </w:div>
        <w:div w:id="883098444">
          <w:marLeft w:val="0"/>
          <w:marRight w:val="0"/>
          <w:marTop w:val="0"/>
          <w:marBottom w:val="0"/>
          <w:divBdr>
            <w:top w:val="none" w:sz="0" w:space="0" w:color="auto"/>
            <w:left w:val="none" w:sz="0" w:space="0" w:color="auto"/>
            <w:bottom w:val="none" w:sz="0" w:space="0" w:color="auto"/>
            <w:right w:val="none" w:sz="0" w:space="0" w:color="auto"/>
          </w:divBdr>
        </w:div>
        <w:div w:id="192310898">
          <w:marLeft w:val="0"/>
          <w:marRight w:val="0"/>
          <w:marTop w:val="0"/>
          <w:marBottom w:val="0"/>
          <w:divBdr>
            <w:top w:val="none" w:sz="0" w:space="0" w:color="auto"/>
            <w:left w:val="none" w:sz="0" w:space="0" w:color="auto"/>
            <w:bottom w:val="none" w:sz="0" w:space="0" w:color="auto"/>
            <w:right w:val="none" w:sz="0" w:space="0" w:color="auto"/>
          </w:divBdr>
        </w:div>
        <w:div w:id="644168073">
          <w:marLeft w:val="0"/>
          <w:marRight w:val="0"/>
          <w:marTop w:val="0"/>
          <w:marBottom w:val="0"/>
          <w:divBdr>
            <w:top w:val="none" w:sz="0" w:space="0" w:color="auto"/>
            <w:left w:val="none" w:sz="0" w:space="0" w:color="auto"/>
            <w:bottom w:val="none" w:sz="0" w:space="0" w:color="auto"/>
            <w:right w:val="none" w:sz="0" w:space="0" w:color="auto"/>
          </w:divBdr>
        </w:div>
        <w:div w:id="1561280916">
          <w:marLeft w:val="0"/>
          <w:marRight w:val="0"/>
          <w:marTop w:val="0"/>
          <w:marBottom w:val="0"/>
          <w:divBdr>
            <w:top w:val="none" w:sz="0" w:space="0" w:color="auto"/>
            <w:left w:val="none" w:sz="0" w:space="0" w:color="auto"/>
            <w:bottom w:val="none" w:sz="0" w:space="0" w:color="auto"/>
            <w:right w:val="none" w:sz="0" w:space="0" w:color="auto"/>
          </w:divBdr>
        </w:div>
        <w:div w:id="1434592420">
          <w:marLeft w:val="0"/>
          <w:marRight w:val="0"/>
          <w:marTop w:val="0"/>
          <w:marBottom w:val="0"/>
          <w:divBdr>
            <w:top w:val="none" w:sz="0" w:space="0" w:color="auto"/>
            <w:left w:val="none" w:sz="0" w:space="0" w:color="auto"/>
            <w:bottom w:val="none" w:sz="0" w:space="0" w:color="auto"/>
            <w:right w:val="none" w:sz="0" w:space="0" w:color="auto"/>
          </w:divBdr>
        </w:div>
        <w:div w:id="1264145982">
          <w:marLeft w:val="0"/>
          <w:marRight w:val="0"/>
          <w:marTop w:val="0"/>
          <w:marBottom w:val="0"/>
          <w:divBdr>
            <w:top w:val="none" w:sz="0" w:space="0" w:color="auto"/>
            <w:left w:val="none" w:sz="0" w:space="0" w:color="auto"/>
            <w:bottom w:val="none" w:sz="0" w:space="0" w:color="auto"/>
            <w:right w:val="none" w:sz="0" w:space="0" w:color="auto"/>
          </w:divBdr>
        </w:div>
        <w:div w:id="508644081">
          <w:marLeft w:val="0"/>
          <w:marRight w:val="0"/>
          <w:marTop w:val="0"/>
          <w:marBottom w:val="0"/>
          <w:divBdr>
            <w:top w:val="none" w:sz="0" w:space="0" w:color="auto"/>
            <w:left w:val="none" w:sz="0" w:space="0" w:color="auto"/>
            <w:bottom w:val="none" w:sz="0" w:space="0" w:color="auto"/>
            <w:right w:val="none" w:sz="0" w:space="0" w:color="auto"/>
          </w:divBdr>
        </w:div>
        <w:div w:id="573049960">
          <w:marLeft w:val="0"/>
          <w:marRight w:val="0"/>
          <w:marTop w:val="0"/>
          <w:marBottom w:val="0"/>
          <w:divBdr>
            <w:top w:val="none" w:sz="0" w:space="0" w:color="auto"/>
            <w:left w:val="none" w:sz="0" w:space="0" w:color="auto"/>
            <w:bottom w:val="none" w:sz="0" w:space="0" w:color="auto"/>
            <w:right w:val="none" w:sz="0" w:space="0" w:color="auto"/>
          </w:divBdr>
        </w:div>
        <w:div w:id="1909725265">
          <w:marLeft w:val="0"/>
          <w:marRight w:val="0"/>
          <w:marTop w:val="0"/>
          <w:marBottom w:val="0"/>
          <w:divBdr>
            <w:top w:val="none" w:sz="0" w:space="0" w:color="auto"/>
            <w:left w:val="none" w:sz="0" w:space="0" w:color="auto"/>
            <w:bottom w:val="none" w:sz="0" w:space="0" w:color="auto"/>
            <w:right w:val="none" w:sz="0" w:space="0" w:color="auto"/>
          </w:divBdr>
        </w:div>
        <w:div w:id="2050520775">
          <w:marLeft w:val="0"/>
          <w:marRight w:val="0"/>
          <w:marTop w:val="0"/>
          <w:marBottom w:val="0"/>
          <w:divBdr>
            <w:top w:val="none" w:sz="0" w:space="0" w:color="auto"/>
            <w:left w:val="none" w:sz="0" w:space="0" w:color="auto"/>
            <w:bottom w:val="none" w:sz="0" w:space="0" w:color="auto"/>
            <w:right w:val="none" w:sz="0" w:space="0" w:color="auto"/>
          </w:divBdr>
        </w:div>
        <w:div w:id="1699968875">
          <w:marLeft w:val="0"/>
          <w:marRight w:val="0"/>
          <w:marTop w:val="0"/>
          <w:marBottom w:val="0"/>
          <w:divBdr>
            <w:top w:val="none" w:sz="0" w:space="0" w:color="auto"/>
            <w:left w:val="none" w:sz="0" w:space="0" w:color="auto"/>
            <w:bottom w:val="none" w:sz="0" w:space="0" w:color="auto"/>
            <w:right w:val="none" w:sz="0" w:space="0" w:color="auto"/>
          </w:divBdr>
        </w:div>
        <w:div w:id="1820415896">
          <w:marLeft w:val="0"/>
          <w:marRight w:val="0"/>
          <w:marTop w:val="0"/>
          <w:marBottom w:val="0"/>
          <w:divBdr>
            <w:top w:val="none" w:sz="0" w:space="0" w:color="auto"/>
            <w:left w:val="none" w:sz="0" w:space="0" w:color="auto"/>
            <w:bottom w:val="none" w:sz="0" w:space="0" w:color="auto"/>
            <w:right w:val="none" w:sz="0" w:space="0" w:color="auto"/>
          </w:divBdr>
        </w:div>
        <w:div w:id="267932338">
          <w:marLeft w:val="0"/>
          <w:marRight w:val="0"/>
          <w:marTop w:val="0"/>
          <w:marBottom w:val="0"/>
          <w:divBdr>
            <w:top w:val="none" w:sz="0" w:space="0" w:color="auto"/>
            <w:left w:val="none" w:sz="0" w:space="0" w:color="auto"/>
            <w:bottom w:val="none" w:sz="0" w:space="0" w:color="auto"/>
            <w:right w:val="none" w:sz="0" w:space="0" w:color="auto"/>
          </w:divBdr>
        </w:div>
        <w:div w:id="669605062">
          <w:marLeft w:val="0"/>
          <w:marRight w:val="0"/>
          <w:marTop w:val="0"/>
          <w:marBottom w:val="0"/>
          <w:divBdr>
            <w:top w:val="none" w:sz="0" w:space="0" w:color="auto"/>
            <w:left w:val="none" w:sz="0" w:space="0" w:color="auto"/>
            <w:bottom w:val="none" w:sz="0" w:space="0" w:color="auto"/>
            <w:right w:val="none" w:sz="0" w:space="0" w:color="auto"/>
          </w:divBdr>
        </w:div>
        <w:div w:id="710109651">
          <w:marLeft w:val="0"/>
          <w:marRight w:val="0"/>
          <w:marTop w:val="0"/>
          <w:marBottom w:val="0"/>
          <w:divBdr>
            <w:top w:val="none" w:sz="0" w:space="0" w:color="auto"/>
            <w:left w:val="none" w:sz="0" w:space="0" w:color="auto"/>
            <w:bottom w:val="none" w:sz="0" w:space="0" w:color="auto"/>
            <w:right w:val="none" w:sz="0" w:space="0" w:color="auto"/>
          </w:divBdr>
        </w:div>
        <w:div w:id="1672953246">
          <w:marLeft w:val="0"/>
          <w:marRight w:val="0"/>
          <w:marTop w:val="0"/>
          <w:marBottom w:val="0"/>
          <w:divBdr>
            <w:top w:val="none" w:sz="0" w:space="0" w:color="auto"/>
            <w:left w:val="none" w:sz="0" w:space="0" w:color="auto"/>
            <w:bottom w:val="none" w:sz="0" w:space="0" w:color="auto"/>
            <w:right w:val="none" w:sz="0" w:space="0" w:color="auto"/>
          </w:divBdr>
        </w:div>
        <w:div w:id="1950039632">
          <w:marLeft w:val="0"/>
          <w:marRight w:val="0"/>
          <w:marTop w:val="0"/>
          <w:marBottom w:val="0"/>
          <w:divBdr>
            <w:top w:val="none" w:sz="0" w:space="0" w:color="auto"/>
            <w:left w:val="none" w:sz="0" w:space="0" w:color="auto"/>
            <w:bottom w:val="none" w:sz="0" w:space="0" w:color="auto"/>
            <w:right w:val="none" w:sz="0" w:space="0" w:color="auto"/>
          </w:divBdr>
        </w:div>
        <w:div w:id="770512390">
          <w:marLeft w:val="0"/>
          <w:marRight w:val="0"/>
          <w:marTop w:val="0"/>
          <w:marBottom w:val="0"/>
          <w:divBdr>
            <w:top w:val="none" w:sz="0" w:space="0" w:color="auto"/>
            <w:left w:val="none" w:sz="0" w:space="0" w:color="auto"/>
            <w:bottom w:val="none" w:sz="0" w:space="0" w:color="auto"/>
            <w:right w:val="none" w:sz="0" w:space="0" w:color="auto"/>
          </w:divBdr>
        </w:div>
        <w:div w:id="1773941022">
          <w:marLeft w:val="0"/>
          <w:marRight w:val="0"/>
          <w:marTop w:val="0"/>
          <w:marBottom w:val="0"/>
          <w:divBdr>
            <w:top w:val="none" w:sz="0" w:space="0" w:color="auto"/>
            <w:left w:val="none" w:sz="0" w:space="0" w:color="auto"/>
            <w:bottom w:val="none" w:sz="0" w:space="0" w:color="auto"/>
            <w:right w:val="none" w:sz="0" w:space="0" w:color="auto"/>
          </w:divBdr>
        </w:div>
        <w:div w:id="1354646598">
          <w:marLeft w:val="0"/>
          <w:marRight w:val="0"/>
          <w:marTop w:val="0"/>
          <w:marBottom w:val="0"/>
          <w:divBdr>
            <w:top w:val="none" w:sz="0" w:space="0" w:color="auto"/>
            <w:left w:val="none" w:sz="0" w:space="0" w:color="auto"/>
            <w:bottom w:val="none" w:sz="0" w:space="0" w:color="auto"/>
            <w:right w:val="none" w:sz="0" w:space="0" w:color="auto"/>
          </w:divBdr>
        </w:div>
        <w:div w:id="1249315294">
          <w:marLeft w:val="0"/>
          <w:marRight w:val="0"/>
          <w:marTop w:val="0"/>
          <w:marBottom w:val="0"/>
          <w:divBdr>
            <w:top w:val="none" w:sz="0" w:space="0" w:color="auto"/>
            <w:left w:val="none" w:sz="0" w:space="0" w:color="auto"/>
            <w:bottom w:val="none" w:sz="0" w:space="0" w:color="auto"/>
            <w:right w:val="none" w:sz="0" w:space="0" w:color="auto"/>
          </w:divBdr>
        </w:div>
        <w:div w:id="599990924">
          <w:marLeft w:val="0"/>
          <w:marRight w:val="0"/>
          <w:marTop w:val="0"/>
          <w:marBottom w:val="0"/>
          <w:divBdr>
            <w:top w:val="none" w:sz="0" w:space="0" w:color="auto"/>
            <w:left w:val="none" w:sz="0" w:space="0" w:color="auto"/>
            <w:bottom w:val="none" w:sz="0" w:space="0" w:color="auto"/>
            <w:right w:val="none" w:sz="0" w:space="0" w:color="auto"/>
          </w:divBdr>
        </w:div>
        <w:div w:id="1740707750">
          <w:marLeft w:val="0"/>
          <w:marRight w:val="0"/>
          <w:marTop w:val="0"/>
          <w:marBottom w:val="0"/>
          <w:divBdr>
            <w:top w:val="none" w:sz="0" w:space="0" w:color="auto"/>
            <w:left w:val="none" w:sz="0" w:space="0" w:color="auto"/>
            <w:bottom w:val="none" w:sz="0" w:space="0" w:color="auto"/>
            <w:right w:val="none" w:sz="0" w:space="0" w:color="auto"/>
          </w:divBdr>
        </w:div>
        <w:div w:id="1162161542">
          <w:marLeft w:val="0"/>
          <w:marRight w:val="0"/>
          <w:marTop w:val="0"/>
          <w:marBottom w:val="0"/>
          <w:divBdr>
            <w:top w:val="none" w:sz="0" w:space="0" w:color="auto"/>
            <w:left w:val="none" w:sz="0" w:space="0" w:color="auto"/>
            <w:bottom w:val="none" w:sz="0" w:space="0" w:color="auto"/>
            <w:right w:val="none" w:sz="0" w:space="0" w:color="auto"/>
          </w:divBdr>
        </w:div>
        <w:div w:id="2106269433">
          <w:marLeft w:val="0"/>
          <w:marRight w:val="0"/>
          <w:marTop w:val="0"/>
          <w:marBottom w:val="0"/>
          <w:divBdr>
            <w:top w:val="none" w:sz="0" w:space="0" w:color="auto"/>
            <w:left w:val="none" w:sz="0" w:space="0" w:color="auto"/>
            <w:bottom w:val="none" w:sz="0" w:space="0" w:color="auto"/>
            <w:right w:val="none" w:sz="0" w:space="0" w:color="auto"/>
          </w:divBdr>
        </w:div>
        <w:div w:id="1331955782">
          <w:marLeft w:val="0"/>
          <w:marRight w:val="0"/>
          <w:marTop w:val="0"/>
          <w:marBottom w:val="0"/>
          <w:divBdr>
            <w:top w:val="none" w:sz="0" w:space="0" w:color="auto"/>
            <w:left w:val="none" w:sz="0" w:space="0" w:color="auto"/>
            <w:bottom w:val="none" w:sz="0" w:space="0" w:color="auto"/>
            <w:right w:val="none" w:sz="0" w:space="0" w:color="auto"/>
          </w:divBdr>
        </w:div>
        <w:div w:id="882406813">
          <w:marLeft w:val="0"/>
          <w:marRight w:val="0"/>
          <w:marTop w:val="0"/>
          <w:marBottom w:val="0"/>
          <w:divBdr>
            <w:top w:val="none" w:sz="0" w:space="0" w:color="auto"/>
            <w:left w:val="none" w:sz="0" w:space="0" w:color="auto"/>
            <w:bottom w:val="none" w:sz="0" w:space="0" w:color="auto"/>
            <w:right w:val="none" w:sz="0" w:space="0" w:color="auto"/>
          </w:divBdr>
        </w:div>
        <w:div w:id="1035155397">
          <w:marLeft w:val="0"/>
          <w:marRight w:val="0"/>
          <w:marTop w:val="0"/>
          <w:marBottom w:val="0"/>
          <w:divBdr>
            <w:top w:val="none" w:sz="0" w:space="0" w:color="auto"/>
            <w:left w:val="none" w:sz="0" w:space="0" w:color="auto"/>
            <w:bottom w:val="none" w:sz="0" w:space="0" w:color="auto"/>
            <w:right w:val="none" w:sz="0" w:space="0" w:color="auto"/>
          </w:divBdr>
        </w:div>
        <w:div w:id="502936545">
          <w:marLeft w:val="0"/>
          <w:marRight w:val="0"/>
          <w:marTop w:val="0"/>
          <w:marBottom w:val="0"/>
          <w:divBdr>
            <w:top w:val="none" w:sz="0" w:space="0" w:color="auto"/>
            <w:left w:val="none" w:sz="0" w:space="0" w:color="auto"/>
            <w:bottom w:val="none" w:sz="0" w:space="0" w:color="auto"/>
            <w:right w:val="none" w:sz="0" w:space="0" w:color="auto"/>
          </w:divBdr>
        </w:div>
        <w:div w:id="1256402939">
          <w:marLeft w:val="0"/>
          <w:marRight w:val="0"/>
          <w:marTop w:val="0"/>
          <w:marBottom w:val="0"/>
          <w:divBdr>
            <w:top w:val="none" w:sz="0" w:space="0" w:color="auto"/>
            <w:left w:val="none" w:sz="0" w:space="0" w:color="auto"/>
            <w:bottom w:val="none" w:sz="0" w:space="0" w:color="auto"/>
            <w:right w:val="none" w:sz="0" w:space="0" w:color="auto"/>
          </w:divBdr>
        </w:div>
        <w:div w:id="985164719">
          <w:marLeft w:val="0"/>
          <w:marRight w:val="0"/>
          <w:marTop w:val="0"/>
          <w:marBottom w:val="0"/>
          <w:divBdr>
            <w:top w:val="none" w:sz="0" w:space="0" w:color="auto"/>
            <w:left w:val="none" w:sz="0" w:space="0" w:color="auto"/>
            <w:bottom w:val="none" w:sz="0" w:space="0" w:color="auto"/>
            <w:right w:val="none" w:sz="0" w:space="0" w:color="auto"/>
          </w:divBdr>
        </w:div>
        <w:div w:id="1043675102">
          <w:marLeft w:val="0"/>
          <w:marRight w:val="0"/>
          <w:marTop w:val="0"/>
          <w:marBottom w:val="0"/>
          <w:divBdr>
            <w:top w:val="none" w:sz="0" w:space="0" w:color="auto"/>
            <w:left w:val="none" w:sz="0" w:space="0" w:color="auto"/>
            <w:bottom w:val="none" w:sz="0" w:space="0" w:color="auto"/>
            <w:right w:val="none" w:sz="0" w:space="0" w:color="auto"/>
          </w:divBdr>
        </w:div>
        <w:div w:id="1570921766">
          <w:marLeft w:val="0"/>
          <w:marRight w:val="0"/>
          <w:marTop w:val="0"/>
          <w:marBottom w:val="0"/>
          <w:divBdr>
            <w:top w:val="none" w:sz="0" w:space="0" w:color="auto"/>
            <w:left w:val="none" w:sz="0" w:space="0" w:color="auto"/>
            <w:bottom w:val="none" w:sz="0" w:space="0" w:color="auto"/>
            <w:right w:val="none" w:sz="0" w:space="0" w:color="auto"/>
          </w:divBdr>
        </w:div>
        <w:div w:id="208879272">
          <w:marLeft w:val="0"/>
          <w:marRight w:val="0"/>
          <w:marTop w:val="0"/>
          <w:marBottom w:val="0"/>
          <w:divBdr>
            <w:top w:val="none" w:sz="0" w:space="0" w:color="auto"/>
            <w:left w:val="none" w:sz="0" w:space="0" w:color="auto"/>
            <w:bottom w:val="none" w:sz="0" w:space="0" w:color="auto"/>
            <w:right w:val="none" w:sz="0" w:space="0" w:color="auto"/>
          </w:divBdr>
        </w:div>
        <w:div w:id="1086271514">
          <w:marLeft w:val="0"/>
          <w:marRight w:val="0"/>
          <w:marTop w:val="0"/>
          <w:marBottom w:val="0"/>
          <w:divBdr>
            <w:top w:val="none" w:sz="0" w:space="0" w:color="auto"/>
            <w:left w:val="none" w:sz="0" w:space="0" w:color="auto"/>
            <w:bottom w:val="none" w:sz="0" w:space="0" w:color="auto"/>
            <w:right w:val="none" w:sz="0" w:space="0" w:color="auto"/>
          </w:divBdr>
        </w:div>
        <w:div w:id="1804616339">
          <w:marLeft w:val="0"/>
          <w:marRight w:val="0"/>
          <w:marTop w:val="0"/>
          <w:marBottom w:val="0"/>
          <w:divBdr>
            <w:top w:val="none" w:sz="0" w:space="0" w:color="auto"/>
            <w:left w:val="none" w:sz="0" w:space="0" w:color="auto"/>
            <w:bottom w:val="none" w:sz="0" w:space="0" w:color="auto"/>
            <w:right w:val="none" w:sz="0" w:space="0" w:color="auto"/>
          </w:divBdr>
        </w:div>
        <w:div w:id="522982953">
          <w:marLeft w:val="0"/>
          <w:marRight w:val="0"/>
          <w:marTop w:val="0"/>
          <w:marBottom w:val="0"/>
          <w:divBdr>
            <w:top w:val="none" w:sz="0" w:space="0" w:color="auto"/>
            <w:left w:val="none" w:sz="0" w:space="0" w:color="auto"/>
            <w:bottom w:val="none" w:sz="0" w:space="0" w:color="auto"/>
            <w:right w:val="none" w:sz="0" w:space="0" w:color="auto"/>
          </w:divBdr>
        </w:div>
        <w:div w:id="636885160">
          <w:marLeft w:val="0"/>
          <w:marRight w:val="0"/>
          <w:marTop w:val="0"/>
          <w:marBottom w:val="0"/>
          <w:divBdr>
            <w:top w:val="none" w:sz="0" w:space="0" w:color="auto"/>
            <w:left w:val="none" w:sz="0" w:space="0" w:color="auto"/>
            <w:bottom w:val="none" w:sz="0" w:space="0" w:color="auto"/>
            <w:right w:val="none" w:sz="0" w:space="0" w:color="auto"/>
          </w:divBdr>
        </w:div>
        <w:div w:id="1729763232">
          <w:marLeft w:val="0"/>
          <w:marRight w:val="0"/>
          <w:marTop w:val="0"/>
          <w:marBottom w:val="0"/>
          <w:divBdr>
            <w:top w:val="none" w:sz="0" w:space="0" w:color="auto"/>
            <w:left w:val="none" w:sz="0" w:space="0" w:color="auto"/>
            <w:bottom w:val="none" w:sz="0" w:space="0" w:color="auto"/>
            <w:right w:val="none" w:sz="0" w:space="0" w:color="auto"/>
          </w:divBdr>
        </w:div>
        <w:div w:id="1474978873">
          <w:marLeft w:val="0"/>
          <w:marRight w:val="0"/>
          <w:marTop w:val="0"/>
          <w:marBottom w:val="0"/>
          <w:divBdr>
            <w:top w:val="none" w:sz="0" w:space="0" w:color="auto"/>
            <w:left w:val="none" w:sz="0" w:space="0" w:color="auto"/>
            <w:bottom w:val="none" w:sz="0" w:space="0" w:color="auto"/>
            <w:right w:val="none" w:sz="0" w:space="0" w:color="auto"/>
          </w:divBdr>
        </w:div>
        <w:div w:id="28917408">
          <w:marLeft w:val="0"/>
          <w:marRight w:val="0"/>
          <w:marTop w:val="0"/>
          <w:marBottom w:val="0"/>
          <w:divBdr>
            <w:top w:val="none" w:sz="0" w:space="0" w:color="auto"/>
            <w:left w:val="none" w:sz="0" w:space="0" w:color="auto"/>
            <w:bottom w:val="none" w:sz="0" w:space="0" w:color="auto"/>
            <w:right w:val="none" w:sz="0" w:space="0" w:color="auto"/>
          </w:divBdr>
        </w:div>
        <w:div w:id="589124069">
          <w:marLeft w:val="0"/>
          <w:marRight w:val="0"/>
          <w:marTop w:val="0"/>
          <w:marBottom w:val="0"/>
          <w:divBdr>
            <w:top w:val="none" w:sz="0" w:space="0" w:color="auto"/>
            <w:left w:val="none" w:sz="0" w:space="0" w:color="auto"/>
            <w:bottom w:val="none" w:sz="0" w:space="0" w:color="auto"/>
            <w:right w:val="none" w:sz="0" w:space="0" w:color="auto"/>
          </w:divBdr>
        </w:div>
        <w:div w:id="1472558259">
          <w:marLeft w:val="0"/>
          <w:marRight w:val="0"/>
          <w:marTop w:val="0"/>
          <w:marBottom w:val="0"/>
          <w:divBdr>
            <w:top w:val="none" w:sz="0" w:space="0" w:color="auto"/>
            <w:left w:val="none" w:sz="0" w:space="0" w:color="auto"/>
            <w:bottom w:val="none" w:sz="0" w:space="0" w:color="auto"/>
            <w:right w:val="none" w:sz="0" w:space="0" w:color="auto"/>
          </w:divBdr>
        </w:div>
        <w:div w:id="863061633">
          <w:marLeft w:val="0"/>
          <w:marRight w:val="0"/>
          <w:marTop w:val="0"/>
          <w:marBottom w:val="0"/>
          <w:divBdr>
            <w:top w:val="none" w:sz="0" w:space="0" w:color="auto"/>
            <w:left w:val="none" w:sz="0" w:space="0" w:color="auto"/>
            <w:bottom w:val="none" w:sz="0" w:space="0" w:color="auto"/>
            <w:right w:val="none" w:sz="0" w:space="0" w:color="auto"/>
          </w:divBdr>
        </w:div>
        <w:div w:id="1806771020">
          <w:marLeft w:val="0"/>
          <w:marRight w:val="0"/>
          <w:marTop w:val="0"/>
          <w:marBottom w:val="0"/>
          <w:divBdr>
            <w:top w:val="none" w:sz="0" w:space="0" w:color="auto"/>
            <w:left w:val="none" w:sz="0" w:space="0" w:color="auto"/>
            <w:bottom w:val="none" w:sz="0" w:space="0" w:color="auto"/>
            <w:right w:val="none" w:sz="0" w:space="0" w:color="auto"/>
          </w:divBdr>
        </w:div>
        <w:div w:id="951857512">
          <w:marLeft w:val="0"/>
          <w:marRight w:val="0"/>
          <w:marTop w:val="0"/>
          <w:marBottom w:val="0"/>
          <w:divBdr>
            <w:top w:val="none" w:sz="0" w:space="0" w:color="auto"/>
            <w:left w:val="none" w:sz="0" w:space="0" w:color="auto"/>
            <w:bottom w:val="none" w:sz="0" w:space="0" w:color="auto"/>
            <w:right w:val="none" w:sz="0" w:space="0" w:color="auto"/>
          </w:divBdr>
        </w:div>
        <w:div w:id="1912889693">
          <w:marLeft w:val="0"/>
          <w:marRight w:val="0"/>
          <w:marTop w:val="0"/>
          <w:marBottom w:val="0"/>
          <w:divBdr>
            <w:top w:val="none" w:sz="0" w:space="0" w:color="auto"/>
            <w:left w:val="none" w:sz="0" w:space="0" w:color="auto"/>
            <w:bottom w:val="none" w:sz="0" w:space="0" w:color="auto"/>
            <w:right w:val="none" w:sz="0" w:space="0" w:color="auto"/>
          </w:divBdr>
        </w:div>
        <w:div w:id="1681807668">
          <w:marLeft w:val="0"/>
          <w:marRight w:val="0"/>
          <w:marTop w:val="0"/>
          <w:marBottom w:val="0"/>
          <w:divBdr>
            <w:top w:val="none" w:sz="0" w:space="0" w:color="auto"/>
            <w:left w:val="none" w:sz="0" w:space="0" w:color="auto"/>
            <w:bottom w:val="none" w:sz="0" w:space="0" w:color="auto"/>
            <w:right w:val="none" w:sz="0" w:space="0" w:color="auto"/>
          </w:divBdr>
        </w:div>
        <w:div w:id="1150944833">
          <w:marLeft w:val="0"/>
          <w:marRight w:val="0"/>
          <w:marTop w:val="0"/>
          <w:marBottom w:val="0"/>
          <w:divBdr>
            <w:top w:val="none" w:sz="0" w:space="0" w:color="auto"/>
            <w:left w:val="none" w:sz="0" w:space="0" w:color="auto"/>
            <w:bottom w:val="none" w:sz="0" w:space="0" w:color="auto"/>
            <w:right w:val="none" w:sz="0" w:space="0" w:color="auto"/>
          </w:divBdr>
        </w:div>
        <w:div w:id="41103666">
          <w:marLeft w:val="0"/>
          <w:marRight w:val="0"/>
          <w:marTop w:val="0"/>
          <w:marBottom w:val="0"/>
          <w:divBdr>
            <w:top w:val="none" w:sz="0" w:space="0" w:color="auto"/>
            <w:left w:val="none" w:sz="0" w:space="0" w:color="auto"/>
            <w:bottom w:val="none" w:sz="0" w:space="0" w:color="auto"/>
            <w:right w:val="none" w:sz="0" w:space="0" w:color="auto"/>
          </w:divBdr>
        </w:div>
        <w:div w:id="1396665407">
          <w:marLeft w:val="0"/>
          <w:marRight w:val="0"/>
          <w:marTop w:val="0"/>
          <w:marBottom w:val="0"/>
          <w:divBdr>
            <w:top w:val="none" w:sz="0" w:space="0" w:color="auto"/>
            <w:left w:val="none" w:sz="0" w:space="0" w:color="auto"/>
            <w:bottom w:val="none" w:sz="0" w:space="0" w:color="auto"/>
            <w:right w:val="none" w:sz="0" w:space="0" w:color="auto"/>
          </w:divBdr>
        </w:div>
        <w:div w:id="1404835044">
          <w:marLeft w:val="0"/>
          <w:marRight w:val="0"/>
          <w:marTop w:val="0"/>
          <w:marBottom w:val="0"/>
          <w:divBdr>
            <w:top w:val="none" w:sz="0" w:space="0" w:color="auto"/>
            <w:left w:val="none" w:sz="0" w:space="0" w:color="auto"/>
            <w:bottom w:val="none" w:sz="0" w:space="0" w:color="auto"/>
            <w:right w:val="none" w:sz="0" w:space="0" w:color="auto"/>
          </w:divBdr>
        </w:div>
        <w:div w:id="164787186">
          <w:marLeft w:val="0"/>
          <w:marRight w:val="0"/>
          <w:marTop w:val="0"/>
          <w:marBottom w:val="0"/>
          <w:divBdr>
            <w:top w:val="none" w:sz="0" w:space="0" w:color="auto"/>
            <w:left w:val="none" w:sz="0" w:space="0" w:color="auto"/>
            <w:bottom w:val="none" w:sz="0" w:space="0" w:color="auto"/>
            <w:right w:val="none" w:sz="0" w:space="0" w:color="auto"/>
          </w:divBdr>
        </w:div>
        <w:div w:id="885214836">
          <w:marLeft w:val="0"/>
          <w:marRight w:val="0"/>
          <w:marTop w:val="0"/>
          <w:marBottom w:val="0"/>
          <w:divBdr>
            <w:top w:val="none" w:sz="0" w:space="0" w:color="auto"/>
            <w:left w:val="none" w:sz="0" w:space="0" w:color="auto"/>
            <w:bottom w:val="none" w:sz="0" w:space="0" w:color="auto"/>
            <w:right w:val="none" w:sz="0" w:space="0" w:color="auto"/>
          </w:divBdr>
        </w:div>
        <w:div w:id="1654680417">
          <w:marLeft w:val="0"/>
          <w:marRight w:val="0"/>
          <w:marTop w:val="0"/>
          <w:marBottom w:val="0"/>
          <w:divBdr>
            <w:top w:val="none" w:sz="0" w:space="0" w:color="auto"/>
            <w:left w:val="none" w:sz="0" w:space="0" w:color="auto"/>
            <w:bottom w:val="none" w:sz="0" w:space="0" w:color="auto"/>
            <w:right w:val="none" w:sz="0" w:space="0" w:color="auto"/>
          </w:divBdr>
        </w:div>
        <w:div w:id="133564352">
          <w:marLeft w:val="0"/>
          <w:marRight w:val="0"/>
          <w:marTop w:val="0"/>
          <w:marBottom w:val="0"/>
          <w:divBdr>
            <w:top w:val="none" w:sz="0" w:space="0" w:color="auto"/>
            <w:left w:val="none" w:sz="0" w:space="0" w:color="auto"/>
            <w:bottom w:val="none" w:sz="0" w:space="0" w:color="auto"/>
            <w:right w:val="none" w:sz="0" w:space="0" w:color="auto"/>
          </w:divBdr>
        </w:div>
        <w:div w:id="1488471607">
          <w:marLeft w:val="0"/>
          <w:marRight w:val="0"/>
          <w:marTop w:val="0"/>
          <w:marBottom w:val="0"/>
          <w:divBdr>
            <w:top w:val="none" w:sz="0" w:space="0" w:color="auto"/>
            <w:left w:val="none" w:sz="0" w:space="0" w:color="auto"/>
            <w:bottom w:val="none" w:sz="0" w:space="0" w:color="auto"/>
            <w:right w:val="none" w:sz="0" w:space="0" w:color="auto"/>
          </w:divBdr>
        </w:div>
        <w:div w:id="1044216290">
          <w:marLeft w:val="0"/>
          <w:marRight w:val="0"/>
          <w:marTop w:val="0"/>
          <w:marBottom w:val="0"/>
          <w:divBdr>
            <w:top w:val="none" w:sz="0" w:space="0" w:color="auto"/>
            <w:left w:val="none" w:sz="0" w:space="0" w:color="auto"/>
            <w:bottom w:val="none" w:sz="0" w:space="0" w:color="auto"/>
            <w:right w:val="none" w:sz="0" w:space="0" w:color="auto"/>
          </w:divBdr>
        </w:div>
        <w:div w:id="2062634098">
          <w:marLeft w:val="0"/>
          <w:marRight w:val="0"/>
          <w:marTop w:val="0"/>
          <w:marBottom w:val="0"/>
          <w:divBdr>
            <w:top w:val="none" w:sz="0" w:space="0" w:color="auto"/>
            <w:left w:val="none" w:sz="0" w:space="0" w:color="auto"/>
            <w:bottom w:val="none" w:sz="0" w:space="0" w:color="auto"/>
            <w:right w:val="none" w:sz="0" w:space="0" w:color="auto"/>
          </w:divBdr>
        </w:div>
        <w:div w:id="1519271658">
          <w:marLeft w:val="0"/>
          <w:marRight w:val="0"/>
          <w:marTop w:val="0"/>
          <w:marBottom w:val="0"/>
          <w:divBdr>
            <w:top w:val="none" w:sz="0" w:space="0" w:color="auto"/>
            <w:left w:val="none" w:sz="0" w:space="0" w:color="auto"/>
            <w:bottom w:val="none" w:sz="0" w:space="0" w:color="auto"/>
            <w:right w:val="none" w:sz="0" w:space="0" w:color="auto"/>
          </w:divBdr>
        </w:div>
        <w:div w:id="869221006">
          <w:marLeft w:val="0"/>
          <w:marRight w:val="0"/>
          <w:marTop w:val="0"/>
          <w:marBottom w:val="0"/>
          <w:divBdr>
            <w:top w:val="none" w:sz="0" w:space="0" w:color="auto"/>
            <w:left w:val="none" w:sz="0" w:space="0" w:color="auto"/>
            <w:bottom w:val="none" w:sz="0" w:space="0" w:color="auto"/>
            <w:right w:val="none" w:sz="0" w:space="0" w:color="auto"/>
          </w:divBdr>
        </w:div>
        <w:div w:id="1482387102">
          <w:marLeft w:val="0"/>
          <w:marRight w:val="0"/>
          <w:marTop w:val="0"/>
          <w:marBottom w:val="0"/>
          <w:divBdr>
            <w:top w:val="none" w:sz="0" w:space="0" w:color="auto"/>
            <w:left w:val="none" w:sz="0" w:space="0" w:color="auto"/>
            <w:bottom w:val="none" w:sz="0" w:space="0" w:color="auto"/>
            <w:right w:val="none" w:sz="0" w:space="0" w:color="auto"/>
          </w:divBdr>
        </w:div>
        <w:div w:id="1215892698">
          <w:marLeft w:val="0"/>
          <w:marRight w:val="0"/>
          <w:marTop w:val="0"/>
          <w:marBottom w:val="0"/>
          <w:divBdr>
            <w:top w:val="none" w:sz="0" w:space="0" w:color="auto"/>
            <w:left w:val="none" w:sz="0" w:space="0" w:color="auto"/>
            <w:bottom w:val="none" w:sz="0" w:space="0" w:color="auto"/>
            <w:right w:val="none" w:sz="0" w:space="0" w:color="auto"/>
          </w:divBdr>
        </w:div>
        <w:div w:id="38212029">
          <w:marLeft w:val="0"/>
          <w:marRight w:val="0"/>
          <w:marTop w:val="0"/>
          <w:marBottom w:val="0"/>
          <w:divBdr>
            <w:top w:val="none" w:sz="0" w:space="0" w:color="auto"/>
            <w:left w:val="none" w:sz="0" w:space="0" w:color="auto"/>
            <w:bottom w:val="none" w:sz="0" w:space="0" w:color="auto"/>
            <w:right w:val="none" w:sz="0" w:space="0" w:color="auto"/>
          </w:divBdr>
        </w:div>
        <w:div w:id="70736568">
          <w:marLeft w:val="0"/>
          <w:marRight w:val="0"/>
          <w:marTop w:val="0"/>
          <w:marBottom w:val="0"/>
          <w:divBdr>
            <w:top w:val="none" w:sz="0" w:space="0" w:color="auto"/>
            <w:left w:val="none" w:sz="0" w:space="0" w:color="auto"/>
            <w:bottom w:val="none" w:sz="0" w:space="0" w:color="auto"/>
            <w:right w:val="none" w:sz="0" w:space="0" w:color="auto"/>
          </w:divBdr>
        </w:div>
        <w:div w:id="1749690581">
          <w:marLeft w:val="0"/>
          <w:marRight w:val="0"/>
          <w:marTop w:val="0"/>
          <w:marBottom w:val="0"/>
          <w:divBdr>
            <w:top w:val="none" w:sz="0" w:space="0" w:color="auto"/>
            <w:left w:val="none" w:sz="0" w:space="0" w:color="auto"/>
            <w:bottom w:val="none" w:sz="0" w:space="0" w:color="auto"/>
            <w:right w:val="none" w:sz="0" w:space="0" w:color="auto"/>
          </w:divBdr>
        </w:div>
        <w:div w:id="1964144634">
          <w:marLeft w:val="0"/>
          <w:marRight w:val="0"/>
          <w:marTop w:val="0"/>
          <w:marBottom w:val="0"/>
          <w:divBdr>
            <w:top w:val="none" w:sz="0" w:space="0" w:color="auto"/>
            <w:left w:val="none" w:sz="0" w:space="0" w:color="auto"/>
            <w:bottom w:val="none" w:sz="0" w:space="0" w:color="auto"/>
            <w:right w:val="none" w:sz="0" w:space="0" w:color="auto"/>
          </w:divBdr>
        </w:div>
        <w:div w:id="1715957837">
          <w:marLeft w:val="0"/>
          <w:marRight w:val="0"/>
          <w:marTop w:val="0"/>
          <w:marBottom w:val="0"/>
          <w:divBdr>
            <w:top w:val="none" w:sz="0" w:space="0" w:color="auto"/>
            <w:left w:val="none" w:sz="0" w:space="0" w:color="auto"/>
            <w:bottom w:val="none" w:sz="0" w:space="0" w:color="auto"/>
            <w:right w:val="none" w:sz="0" w:space="0" w:color="auto"/>
          </w:divBdr>
        </w:div>
        <w:div w:id="1841045329">
          <w:marLeft w:val="0"/>
          <w:marRight w:val="0"/>
          <w:marTop w:val="0"/>
          <w:marBottom w:val="0"/>
          <w:divBdr>
            <w:top w:val="none" w:sz="0" w:space="0" w:color="auto"/>
            <w:left w:val="none" w:sz="0" w:space="0" w:color="auto"/>
            <w:bottom w:val="none" w:sz="0" w:space="0" w:color="auto"/>
            <w:right w:val="none" w:sz="0" w:space="0" w:color="auto"/>
          </w:divBdr>
        </w:div>
        <w:div w:id="2017149806">
          <w:marLeft w:val="0"/>
          <w:marRight w:val="0"/>
          <w:marTop w:val="0"/>
          <w:marBottom w:val="0"/>
          <w:divBdr>
            <w:top w:val="none" w:sz="0" w:space="0" w:color="auto"/>
            <w:left w:val="none" w:sz="0" w:space="0" w:color="auto"/>
            <w:bottom w:val="none" w:sz="0" w:space="0" w:color="auto"/>
            <w:right w:val="none" w:sz="0" w:space="0" w:color="auto"/>
          </w:divBdr>
        </w:div>
        <w:div w:id="1192718199">
          <w:marLeft w:val="0"/>
          <w:marRight w:val="0"/>
          <w:marTop w:val="0"/>
          <w:marBottom w:val="0"/>
          <w:divBdr>
            <w:top w:val="none" w:sz="0" w:space="0" w:color="auto"/>
            <w:left w:val="none" w:sz="0" w:space="0" w:color="auto"/>
            <w:bottom w:val="none" w:sz="0" w:space="0" w:color="auto"/>
            <w:right w:val="none" w:sz="0" w:space="0" w:color="auto"/>
          </w:divBdr>
        </w:div>
        <w:div w:id="1623221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Sneddon</dc:creator>
  <cp:keywords/>
  <dc:description/>
  <cp:lastModifiedBy>Helen Sneddon</cp:lastModifiedBy>
  <cp:revision>2</cp:revision>
  <dcterms:created xsi:type="dcterms:W3CDTF">2024-04-20T17:48:00Z</dcterms:created>
  <dcterms:modified xsi:type="dcterms:W3CDTF">2024-04-20T17:48:00Z</dcterms:modified>
</cp:coreProperties>
</file>