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C621B" w:rsidRDefault="006C621B" w:rsidP="006C621B">
      <w:pPr>
        <w:pBdr>
          <w:top w:val="nil"/>
          <w:left w:val="nil"/>
          <w:bottom w:val="nil"/>
          <w:right w:val="nil"/>
          <w:between w:val="nil"/>
        </w:pBdr>
        <w:spacing w:line="480" w:lineRule="auto"/>
        <w:jc w:val="center"/>
        <w:rPr>
          <w:b/>
          <w:bCs/>
          <w:sz w:val="28"/>
          <w:szCs w:val="28"/>
          <w:lang w:val="en-US"/>
        </w:rPr>
      </w:pPr>
      <w:r w:rsidRPr="008966FF">
        <w:rPr>
          <w:b/>
          <w:bCs/>
          <w:sz w:val="28"/>
          <w:szCs w:val="28"/>
          <w:lang w:val="en-US"/>
        </w:rPr>
        <w:t>Supplementary</w:t>
      </w:r>
      <w:r w:rsidRPr="001707BA">
        <w:rPr>
          <w:b/>
          <w:bCs/>
          <w:sz w:val="28"/>
          <w:szCs w:val="28"/>
          <w:lang w:val="en-US"/>
        </w:rPr>
        <w:t xml:space="preserve"> Information</w:t>
      </w:r>
    </w:p>
    <w:p w:rsidR="006C621B" w:rsidRPr="001707BA" w:rsidRDefault="006C621B" w:rsidP="00797FF2">
      <w:pPr>
        <w:spacing w:after="120"/>
        <w:jc w:val="center"/>
        <w:rPr>
          <w:b/>
          <w:strike/>
          <w:sz w:val="28"/>
          <w:szCs w:val="28"/>
          <w:lang w:val="en-US"/>
        </w:rPr>
      </w:pPr>
      <w:r>
        <w:rPr>
          <w:b/>
          <w:sz w:val="28"/>
          <w:szCs w:val="28"/>
          <w:lang w:val="en-US"/>
        </w:rPr>
        <w:t>Strong e</w:t>
      </w:r>
      <w:r w:rsidRPr="00971398">
        <w:rPr>
          <w:b/>
          <w:sz w:val="28"/>
          <w:szCs w:val="28"/>
          <w:lang w:val="en-US"/>
        </w:rPr>
        <w:t>nhance</w:t>
      </w:r>
      <w:r>
        <w:rPr>
          <w:b/>
          <w:sz w:val="28"/>
          <w:szCs w:val="28"/>
          <w:lang w:val="en-US"/>
        </w:rPr>
        <w:t xml:space="preserve">ment of </w:t>
      </w:r>
      <w:r w:rsidRPr="00CB1154">
        <w:rPr>
          <w:b/>
          <w:sz w:val="28"/>
          <w:szCs w:val="28"/>
          <w:lang w:val="en-US"/>
        </w:rPr>
        <w:t>effective refractive index in structured colloids</w:t>
      </w:r>
      <w:r w:rsidR="00CB1154" w:rsidRPr="00CB1154">
        <w:rPr>
          <w:b/>
          <w:sz w:val="28"/>
          <w:szCs w:val="28"/>
          <w:lang w:val="en-US"/>
        </w:rPr>
        <w:t xml:space="preserve"> </w:t>
      </w:r>
      <w:r w:rsidR="00CB1154" w:rsidRPr="00CB1154">
        <w:rPr>
          <w:b/>
          <w:sz w:val="28"/>
          <w:szCs w:val="28"/>
          <w:lang w:val="en-US"/>
        </w:rPr>
        <w:t>(TiO</w:t>
      </w:r>
      <w:r w:rsidR="00CB1154" w:rsidRPr="00CB1154">
        <w:rPr>
          <w:b/>
          <w:sz w:val="28"/>
          <w:szCs w:val="28"/>
          <w:vertAlign w:val="subscript"/>
          <w:lang w:val="en-US"/>
        </w:rPr>
        <w:t>2</w:t>
      </w:r>
      <w:r w:rsidR="00CB1154" w:rsidRPr="00CB1154">
        <w:rPr>
          <w:b/>
          <w:sz w:val="28"/>
          <w:szCs w:val="28"/>
          <w:lang w:val="en-US"/>
        </w:rPr>
        <w:t>@Silica)</w:t>
      </w:r>
      <w:r>
        <w:rPr>
          <w:b/>
          <w:sz w:val="28"/>
          <w:szCs w:val="28"/>
          <w:lang w:val="en-US"/>
        </w:rPr>
        <w:t xml:space="preserve"> </w:t>
      </w:r>
    </w:p>
    <w:p w:rsidR="006C621B" w:rsidRPr="00797FF2" w:rsidRDefault="006C621B" w:rsidP="006C621B">
      <w:pPr>
        <w:pBdr>
          <w:top w:val="nil"/>
          <w:left w:val="nil"/>
          <w:bottom w:val="nil"/>
          <w:right w:val="nil"/>
          <w:between w:val="nil"/>
        </w:pBdr>
        <w:spacing w:after="120" w:line="220" w:lineRule="auto"/>
        <w:ind w:left="142"/>
        <w:jc w:val="center"/>
        <w:rPr>
          <w:color w:val="000000"/>
          <w:sz w:val="18"/>
          <w:szCs w:val="18"/>
        </w:rPr>
      </w:pPr>
      <w:r w:rsidRPr="00797FF2">
        <w:rPr>
          <w:color w:val="000000"/>
          <w:sz w:val="18"/>
          <w:szCs w:val="18"/>
        </w:rPr>
        <w:t>Jessica Dipold</w:t>
      </w:r>
      <w:r w:rsidRPr="00797FF2">
        <w:rPr>
          <w:color w:val="000000"/>
          <w:sz w:val="18"/>
          <w:szCs w:val="18"/>
          <w:vertAlign w:val="superscript"/>
        </w:rPr>
        <w:t>1</w:t>
      </w:r>
      <w:r w:rsidRPr="00797FF2">
        <w:rPr>
          <w:color w:val="000000"/>
          <w:sz w:val="18"/>
          <w:szCs w:val="18"/>
        </w:rPr>
        <w:t xml:space="preserve">, </w:t>
      </w:r>
      <w:proofErr w:type="spellStart"/>
      <w:r w:rsidRPr="00797FF2">
        <w:rPr>
          <w:color w:val="000000"/>
          <w:sz w:val="18"/>
          <w:szCs w:val="18"/>
        </w:rPr>
        <w:t>Niklaus</w:t>
      </w:r>
      <w:proofErr w:type="spellEnd"/>
      <w:r w:rsidRPr="00797FF2">
        <w:rPr>
          <w:color w:val="000000"/>
          <w:sz w:val="18"/>
          <w:szCs w:val="18"/>
        </w:rPr>
        <w:t xml:space="preserve"> U. Wetter</w:t>
      </w:r>
      <w:r w:rsidRPr="00797FF2">
        <w:rPr>
          <w:color w:val="000000"/>
          <w:sz w:val="18"/>
          <w:szCs w:val="18"/>
          <w:vertAlign w:val="superscript"/>
        </w:rPr>
        <w:t>1</w:t>
      </w:r>
      <w:r w:rsidRPr="00797FF2">
        <w:rPr>
          <w:color w:val="000000"/>
          <w:sz w:val="18"/>
          <w:szCs w:val="18"/>
        </w:rPr>
        <w:t>, Francisco C. Marques</w:t>
      </w:r>
      <w:r w:rsidRPr="00797FF2">
        <w:rPr>
          <w:color w:val="000000"/>
          <w:sz w:val="18"/>
          <w:szCs w:val="18"/>
          <w:vertAlign w:val="superscript"/>
        </w:rPr>
        <w:t>2</w:t>
      </w:r>
      <w:r w:rsidRPr="00797FF2">
        <w:rPr>
          <w:color w:val="000000"/>
          <w:sz w:val="18"/>
          <w:szCs w:val="18"/>
        </w:rPr>
        <w:t xml:space="preserve">, </w:t>
      </w:r>
      <w:proofErr w:type="spellStart"/>
      <w:r w:rsidRPr="00797FF2">
        <w:rPr>
          <w:color w:val="000000"/>
          <w:sz w:val="18"/>
          <w:szCs w:val="18"/>
        </w:rPr>
        <w:t>Aristide</w:t>
      </w:r>
      <w:proofErr w:type="spellEnd"/>
      <w:r w:rsidRPr="00797FF2">
        <w:rPr>
          <w:color w:val="000000"/>
          <w:sz w:val="18"/>
          <w:szCs w:val="18"/>
        </w:rPr>
        <w:t xml:space="preserve"> Dogariu</w:t>
      </w:r>
      <w:r w:rsidRPr="00797FF2">
        <w:rPr>
          <w:color w:val="000000"/>
          <w:sz w:val="18"/>
          <w:szCs w:val="18"/>
          <w:vertAlign w:val="superscript"/>
        </w:rPr>
        <w:t>3</w:t>
      </w:r>
      <w:r w:rsidRPr="00797FF2">
        <w:rPr>
          <w:color w:val="000000"/>
          <w:sz w:val="18"/>
          <w:szCs w:val="18"/>
        </w:rPr>
        <w:t>, Ernesto Jiménez-Villar</w:t>
      </w:r>
      <w:r w:rsidRPr="00797FF2">
        <w:rPr>
          <w:color w:val="000000"/>
          <w:sz w:val="18"/>
          <w:szCs w:val="18"/>
          <w:vertAlign w:val="superscript"/>
        </w:rPr>
        <w:t>2,3*</w:t>
      </w:r>
    </w:p>
    <w:p w:rsidR="006C621B" w:rsidRPr="00797FF2" w:rsidRDefault="006C621B" w:rsidP="006C621B">
      <w:pPr>
        <w:pBdr>
          <w:top w:val="nil"/>
          <w:left w:val="nil"/>
          <w:bottom w:val="nil"/>
          <w:right w:val="nil"/>
          <w:between w:val="nil"/>
        </w:pBdr>
        <w:jc w:val="center"/>
        <w:rPr>
          <w:i/>
          <w:color w:val="000000"/>
          <w:sz w:val="18"/>
          <w:szCs w:val="18"/>
          <w:vertAlign w:val="superscript"/>
        </w:rPr>
      </w:pPr>
      <w:r w:rsidRPr="00797FF2">
        <w:rPr>
          <w:i/>
          <w:color w:val="000000"/>
          <w:sz w:val="18"/>
          <w:szCs w:val="18"/>
          <w:vertAlign w:val="superscript"/>
        </w:rPr>
        <w:t>1</w:t>
      </w:r>
      <w:r w:rsidRPr="00797FF2">
        <w:rPr>
          <w:i/>
          <w:color w:val="000000"/>
          <w:sz w:val="18"/>
          <w:szCs w:val="18"/>
        </w:rPr>
        <w:t xml:space="preserve">Instituto de pesquisas Energéticas e Nucleares, CNEN_IPEN, São Paulo, SP 05508-000, </w:t>
      </w:r>
      <w:proofErr w:type="spellStart"/>
      <w:r w:rsidRPr="00797FF2">
        <w:rPr>
          <w:i/>
          <w:color w:val="000000"/>
          <w:sz w:val="18"/>
          <w:szCs w:val="18"/>
        </w:rPr>
        <w:t>Brazil</w:t>
      </w:r>
      <w:proofErr w:type="spellEnd"/>
    </w:p>
    <w:p w:rsidR="006C621B" w:rsidRPr="00797FF2" w:rsidRDefault="006C621B" w:rsidP="006C621B">
      <w:pPr>
        <w:pBdr>
          <w:top w:val="nil"/>
          <w:left w:val="nil"/>
          <w:bottom w:val="nil"/>
          <w:right w:val="nil"/>
          <w:between w:val="nil"/>
        </w:pBdr>
        <w:jc w:val="center"/>
        <w:rPr>
          <w:i/>
          <w:color w:val="000000"/>
          <w:sz w:val="18"/>
          <w:szCs w:val="18"/>
        </w:rPr>
      </w:pPr>
      <w:r w:rsidRPr="00797FF2">
        <w:rPr>
          <w:i/>
          <w:color w:val="000000"/>
          <w:sz w:val="18"/>
          <w:szCs w:val="18"/>
          <w:vertAlign w:val="superscript"/>
        </w:rPr>
        <w:t>2</w:t>
      </w:r>
      <w:r w:rsidRPr="00797FF2">
        <w:rPr>
          <w:i/>
          <w:iCs/>
          <w:sz w:val="18"/>
          <w:szCs w:val="18"/>
        </w:rPr>
        <w:t xml:space="preserve">Instituto de Física “Gleb </w:t>
      </w:r>
      <w:proofErr w:type="spellStart"/>
      <w:r w:rsidRPr="00797FF2">
        <w:rPr>
          <w:i/>
          <w:iCs/>
          <w:sz w:val="18"/>
          <w:szCs w:val="18"/>
        </w:rPr>
        <w:t>Wataghin</w:t>
      </w:r>
      <w:proofErr w:type="spellEnd"/>
      <w:r w:rsidRPr="00797FF2">
        <w:rPr>
          <w:i/>
          <w:iCs/>
          <w:sz w:val="18"/>
          <w:szCs w:val="18"/>
        </w:rPr>
        <w:t>”</w:t>
      </w:r>
      <w:r w:rsidRPr="00797FF2">
        <w:rPr>
          <w:i/>
          <w:iCs/>
          <w:color w:val="000000"/>
          <w:sz w:val="18"/>
          <w:szCs w:val="18"/>
        </w:rPr>
        <w:t>,</w:t>
      </w:r>
      <w:r w:rsidRPr="00797FF2">
        <w:rPr>
          <w:i/>
          <w:color w:val="000000"/>
          <w:sz w:val="18"/>
          <w:szCs w:val="18"/>
        </w:rPr>
        <w:t xml:space="preserve"> </w:t>
      </w:r>
      <w:proofErr w:type="spellStart"/>
      <w:r w:rsidRPr="00797FF2">
        <w:rPr>
          <w:i/>
          <w:color w:val="000000"/>
          <w:sz w:val="18"/>
          <w:szCs w:val="18"/>
        </w:rPr>
        <w:t>Universidade</w:t>
      </w:r>
      <w:proofErr w:type="spellEnd"/>
      <w:r w:rsidRPr="00797FF2">
        <w:rPr>
          <w:i/>
          <w:color w:val="000000"/>
          <w:sz w:val="18"/>
          <w:szCs w:val="18"/>
        </w:rPr>
        <w:t xml:space="preserve"> Estadual de Campinas, Campinas SP 13083-859, </w:t>
      </w:r>
      <w:proofErr w:type="spellStart"/>
      <w:r w:rsidRPr="00797FF2">
        <w:rPr>
          <w:i/>
          <w:color w:val="000000"/>
          <w:sz w:val="18"/>
          <w:szCs w:val="18"/>
        </w:rPr>
        <w:t>Brazil</w:t>
      </w:r>
      <w:proofErr w:type="spellEnd"/>
    </w:p>
    <w:p w:rsidR="006C621B" w:rsidRPr="00797FF2" w:rsidRDefault="006C621B" w:rsidP="006C621B">
      <w:pPr>
        <w:pBdr>
          <w:top w:val="nil"/>
          <w:left w:val="nil"/>
          <w:bottom w:val="nil"/>
          <w:right w:val="nil"/>
          <w:between w:val="nil"/>
        </w:pBdr>
        <w:jc w:val="center"/>
        <w:rPr>
          <w:i/>
          <w:color w:val="000000"/>
          <w:sz w:val="18"/>
          <w:szCs w:val="18"/>
          <w:lang w:val="en-US"/>
        </w:rPr>
      </w:pPr>
      <w:r w:rsidRPr="00797FF2">
        <w:rPr>
          <w:i/>
          <w:color w:val="000000"/>
          <w:sz w:val="18"/>
          <w:szCs w:val="18"/>
          <w:vertAlign w:val="superscript"/>
          <w:lang w:val="en-US"/>
        </w:rPr>
        <w:t>3</w:t>
      </w:r>
      <w:r w:rsidRPr="00797FF2">
        <w:rPr>
          <w:i/>
          <w:sz w:val="18"/>
          <w:szCs w:val="18"/>
          <w:lang w:val="en-US"/>
        </w:rPr>
        <w:t xml:space="preserve">CREOL, The College of Optics and Photonics, University of Central Florida, Orlando, FL </w:t>
      </w:r>
      <w:r w:rsidRPr="00797FF2">
        <w:rPr>
          <w:i/>
          <w:color w:val="202124"/>
          <w:sz w:val="18"/>
          <w:szCs w:val="18"/>
          <w:shd w:val="clear" w:color="auto" w:fill="FFFFFF"/>
          <w:lang w:val="en-US"/>
        </w:rPr>
        <w:t>32816</w:t>
      </w:r>
      <w:r w:rsidRPr="00797FF2">
        <w:rPr>
          <w:i/>
          <w:sz w:val="18"/>
          <w:szCs w:val="18"/>
          <w:lang w:val="en-US"/>
        </w:rPr>
        <w:t>, USA</w:t>
      </w:r>
    </w:p>
    <w:p w:rsidR="006C621B" w:rsidRPr="00797FF2" w:rsidRDefault="006C621B" w:rsidP="006C621B">
      <w:pPr>
        <w:jc w:val="center"/>
        <w:rPr>
          <w:sz w:val="18"/>
          <w:szCs w:val="18"/>
          <w:lang w:val="en-US"/>
        </w:rPr>
      </w:pPr>
      <w:r w:rsidRPr="00797FF2">
        <w:rPr>
          <w:color w:val="222222"/>
          <w:sz w:val="18"/>
          <w:szCs w:val="18"/>
          <w:vertAlign w:val="superscript"/>
          <w:lang w:val="en-US"/>
        </w:rPr>
        <w:t>*</w:t>
      </w:r>
      <w:r w:rsidRPr="00797FF2">
        <w:rPr>
          <w:color w:val="222222"/>
          <w:sz w:val="18"/>
          <w:szCs w:val="18"/>
          <w:lang w:val="en-US"/>
        </w:rPr>
        <w:t>Corresponding author:</w:t>
      </w:r>
      <w:r w:rsidRPr="00797FF2">
        <w:rPr>
          <w:sz w:val="18"/>
          <w:szCs w:val="18"/>
          <w:lang w:val="en-US"/>
        </w:rPr>
        <w:t xml:space="preserve"> </w:t>
      </w:r>
      <w:hyperlink r:id="rId6" w:history="1">
        <w:r w:rsidRPr="00797FF2">
          <w:rPr>
            <w:rStyle w:val="Hipervnculo"/>
            <w:sz w:val="18"/>
            <w:szCs w:val="18"/>
            <w:lang w:val="en-US"/>
          </w:rPr>
          <w:t>Ernesto.jimenez@uv.es</w:t>
        </w:r>
      </w:hyperlink>
    </w:p>
    <w:p w:rsidR="0085571A" w:rsidRPr="0085571A" w:rsidRDefault="0085571A" w:rsidP="0085571A">
      <w:pPr>
        <w:spacing w:before="240" w:line="480" w:lineRule="auto"/>
        <w:jc w:val="both"/>
        <w:outlineLvl w:val="0"/>
        <w:rPr>
          <w:b/>
          <w:lang w:val="en-US"/>
        </w:rPr>
      </w:pPr>
      <w:r w:rsidRPr="0085571A">
        <w:rPr>
          <w:b/>
          <w:lang w:val="en-US"/>
        </w:rPr>
        <w:t>Materials and Methods:</w:t>
      </w:r>
    </w:p>
    <w:p w:rsidR="0085571A" w:rsidRPr="0085571A" w:rsidRDefault="0085571A" w:rsidP="0085571A">
      <w:pPr>
        <w:pStyle w:val="08SectionHeader1"/>
        <w:numPr>
          <w:ilvl w:val="0"/>
          <w:numId w:val="0"/>
        </w:numPr>
        <w:spacing w:before="0" w:line="480" w:lineRule="auto"/>
        <w:ind w:firstLine="284"/>
        <w:jc w:val="both"/>
        <w:rPr>
          <w:rFonts w:ascii="Times New Roman" w:hAnsi="Times New Roman" w:cs="Times New Roman"/>
          <w:b w:val="0"/>
          <w:bCs/>
          <w:sz w:val="24"/>
          <w:szCs w:val="24"/>
        </w:rPr>
      </w:pPr>
      <w:r w:rsidRPr="0085571A">
        <w:rPr>
          <w:rFonts w:ascii="Times New Roman" w:hAnsi="Times New Roman" w:cs="Times New Roman"/>
          <w:b w:val="0"/>
          <w:bCs/>
          <w:sz w:val="24"/>
          <w:szCs w:val="24"/>
        </w:rPr>
        <w:t>Ethanol alcohol HPLC with spectroscopic grade purity was supplied by MERCK, tetra-ethyl-ortho-silicate (TEOS) was supplied by Sigma-Aldrich, and the ammonia P.A. was supplied by MERCK. The titanium dioxide (TiO</w:t>
      </w:r>
      <w:r w:rsidRPr="0085571A">
        <w:rPr>
          <w:rFonts w:ascii="Times New Roman" w:hAnsi="Times New Roman" w:cs="Times New Roman"/>
          <w:b w:val="0"/>
          <w:bCs/>
          <w:sz w:val="24"/>
          <w:szCs w:val="24"/>
          <w:vertAlign w:val="subscript"/>
        </w:rPr>
        <w:t>2</w:t>
      </w:r>
      <w:r w:rsidRPr="0085571A">
        <w:rPr>
          <w:rFonts w:ascii="Times New Roman" w:hAnsi="Times New Roman" w:cs="Times New Roman"/>
          <w:b w:val="0"/>
          <w:bCs/>
          <w:sz w:val="24"/>
          <w:szCs w:val="24"/>
        </w:rPr>
        <w:t xml:space="preserve">) with a rutile crystal structure was acquired from DuPont Inc. (R900). </w:t>
      </w:r>
      <w:r w:rsidRPr="0085571A">
        <w:rPr>
          <w:rFonts w:ascii="Times New Roman" w:hAnsi="Times New Roman" w:cs="Times New Roman"/>
          <w:b w:val="0"/>
          <w:bCs/>
          <w:color w:val="000000"/>
          <w:sz w:val="24"/>
          <w:szCs w:val="24"/>
        </w:rPr>
        <w:t>The TiO</w:t>
      </w:r>
      <w:r w:rsidRPr="0085571A">
        <w:rPr>
          <w:rFonts w:ascii="Times New Roman" w:hAnsi="Times New Roman" w:cs="Times New Roman"/>
          <w:b w:val="0"/>
          <w:bCs/>
          <w:color w:val="000000"/>
          <w:sz w:val="24"/>
          <w:szCs w:val="24"/>
          <w:vertAlign w:val="subscript"/>
        </w:rPr>
        <w:t>2</w:t>
      </w:r>
      <w:r w:rsidRPr="0085571A">
        <w:rPr>
          <w:rFonts w:ascii="Times New Roman" w:hAnsi="Times New Roman" w:cs="Times New Roman"/>
          <w:b w:val="0"/>
          <w:bCs/>
          <w:color w:val="000000"/>
          <w:sz w:val="24"/>
          <w:szCs w:val="24"/>
        </w:rPr>
        <w:t xml:space="preserve"> grains have an average particle diameter of 410nm with a polydispersity of 25%. </w:t>
      </w:r>
      <w:r w:rsidRPr="0085571A">
        <w:rPr>
          <w:rFonts w:ascii="Times New Roman" w:hAnsi="Times New Roman" w:cs="Times New Roman"/>
          <w:b w:val="0"/>
          <w:bCs/>
          <w:sz w:val="24"/>
          <w:szCs w:val="24"/>
        </w:rPr>
        <w:t>TiO</w:t>
      </w:r>
      <w:r w:rsidRPr="0085571A">
        <w:rPr>
          <w:rFonts w:ascii="Times New Roman" w:hAnsi="Times New Roman" w:cs="Times New Roman"/>
          <w:b w:val="0"/>
          <w:bCs/>
          <w:sz w:val="24"/>
          <w:szCs w:val="24"/>
          <w:vertAlign w:val="subscript"/>
        </w:rPr>
        <w:t>2</w:t>
      </w:r>
      <w:r w:rsidRPr="0085571A">
        <w:rPr>
          <w:rFonts w:ascii="Times New Roman" w:hAnsi="Times New Roman" w:cs="Times New Roman"/>
          <w:b w:val="0"/>
          <w:bCs/>
          <w:sz w:val="24"/>
          <w:szCs w:val="24"/>
        </w:rPr>
        <w:t xml:space="preserve"> nanoparticles were coated with a silica shell of ~40 nm thickness via the </w:t>
      </w:r>
      <w:proofErr w:type="spellStart"/>
      <w:r w:rsidRPr="0085571A">
        <w:rPr>
          <w:rFonts w:ascii="Times New Roman" w:hAnsi="Times New Roman" w:cs="Times New Roman"/>
          <w:b w:val="0"/>
          <w:bCs/>
          <w:sz w:val="24"/>
          <w:szCs w:val="24"/>
        </w:rPr>
        <w:t>Stöber</w:t>
      </w:r>
      <w:proofErr w:type="spellEnd"/>
      <w:r w:rsidRPr="0085571A">
        <w:rPr>
          <w:rFonts w:ascii="Times New Roman" w:hAnsi="Times New Roman" w:cs="Times New Roman"/>
          <w:b w:val="0"/>
          <w:bCs/>
          <w:sz w:val="24"/>
          <w:szCs w:val="24"/>
        </w:rPr>
        <w:t xml:space="preserve"> metho</w:t>
      </w:r>
      <w:r w:rsidRPr="00720CF5">
        <w:rPr>
          <w:rFonts w:ascii="Times New Roman" w:hAnsi="Times New Roman" w:cs="Times New Roman"/>
          <w:b w:val="0"/>
          <w:bCs/>
          <w:sz w:val="24"/>
          <w:szCs w:val="24"/>
        </w:rPr>
        <w:t>d.</w:t>
      </w:r>
      <w:r w:rsidR="00720CF5" w:rsidRPr="00720CF5">
        <w:rPr>
          <w:rFonts w:ascii="Times New Roman" w:hAnsi="Times New Roman" w:cs="Times New Roman"/>
          <w:b w:val="0"/>
          <w:bCs/>
          <w:sz w:val="24"/>
          <w:szCs w:val="24"/>
        </w:rPr>
        <w:t xml:space="preserve"> </w:t>
      </w:r>
      <w:r w:rsidR="00720CF5" w:rsidRPr="00720CF5">
        <w:rPr>
          <w:rFonts w:ascii="Times New Roman" w:hAnsi="Times New Roman" w:cs="Times New Roman"/>
          <w:b w:val="0"/>
          <w:bCs/>
          <w:sz w:val="24"/>
          <w:szCs w:val="24"/>
        </w:rPr>
        <w:t>In the first stage, 5 g of TiO</w:t>
      </w:r>
      <w:r w:rsidR="00720CF5" w:rsidRPr="00720CF5">
        <w:rPr>
          <w:rFonts w:ascii="Times New Roman" w:hAnsi="Times New Roman" w:cs="Times New Roman"/>
          <w:b w:val="0"/>
          <w:bCs/>
          <w:sz w:val="24"/>
          <w:szCs w:val="24"/>
          <w:vertAlign w:val="subscript"/>
        </w:rPr>
        <w:t>2</w:t>
      </w:r>
      <w:r w:rsidR="00720CF5" w:rsidRPr="00720CF5">
        <w:rPr>
          <w:rFonts w:ascii="Times New Roman" w:hAnsi="Times New Roman" w:cs="Times New Roman"/>
          <w:b w:val="0"/>
          <w:bCs/>
          <w:sz w:val="24"/>
          <w:szCs w:val="24"/>
        </w:rPr>
        <w:t xml:space="preserve"> NPs were dispersed in 500 ml of absolute ethanol. This suspension was placed in an ultrasound bath for 20 minutes to disperse the particles</w:t>
      </w:r>
      <w:r w:rsidR="00720CF5" w:rsidRPr="00720CF5" w:rsidDel="004B3219">
        <w:rPr>
          <w:rFonts w:ascii="Times New Roman" w:hAnsi="Times New Roman" w:cs="Times New Roman"/>
          <w:b w:val="0"/>
          <w:bCs/>
          <w:sz w:val="24"/>
          <w:szCs w:val="24"/>
        </w:rPr>
        <w:t xml:space="preserve"> </w:t>
      </w:r>
      <w:r w:rsidR="00720CF5" w:rsidRPr="00720CF5">
        <w:rPr>
          <w:rFonts w:ascii="Times New Roman" w:hAnsi="Times New Roman" w:cs="Times New Roman"/>
          <w:b w:val="0"/>
          <w:bCs/>
          <w:sz w:val="24"/>
          <w:szCs w:val="24"/>
        </w:rPr>
        <w:t>and 6.67 mL of ammonia and 10 mL of TEOS were added. The TEOS and commercial ammonia (NH</w:t>
      </w:r>
      <w:r w:rsidR="00720CF5" w:rsidRPr="00720CF5">
        <w:rPr>
          <w:rFonts w:ascii="Times New Roman" w:hAnsi="Times New Roman" w:cs="Times New Roman"/>
          <w:b w:val="0"/>
          <w:bCs/>
          <w:sz w:val="24"/>
          <w:szCs w:val="24"/>
          <w:vertAlign w:val="subscript"/>
        </w:rPr>
        <w:t>4</w:t>
      </w:r>
      <w:r w:rsidR="00720CF5" w:rsidRPr="00720CF5">
        <w:rPr>
          <w:rFonts w:ascii="Times New Roman" w:hAnsi="Times New Roman" w:cs="Times New Roman"/>
          <w:b w:val="0"/>
          <w:bCs/>
          <w:sz w:val="24"/>
          <w:szCs w:val="24"/>
        </w:rPr>
        <w:t xml:space="preserve">OH 28%-30%) were added alternately in 100 portions of 100 </w:t>
      </w:r>
      <w:proofErr w:type="spellStart"/>
      <w:r w:rsidR="00720CF5" w:rsidRPr="00720CF5">
        <w:rPr>
          <w:rFonts w:ascii="Times New Roman" w:hAnsi="Times New Roman" w:cs="Times New Roman"/>
          <w:b w:val="0"/>
          <w:bCs/>
          <w:sz w:val="24"/>
          <w:szCs w:val="24"/>
        </w:rPr>
        <w:t>μl</w:t>
      </w:r>
      <w:proofErr w:type="spellEnd"/>
      <w:r w:rsidR="00720CF5" w:rsidRPr="00720CF5">
        <w:rPr>
          <w:rFonts w:ascii="Times New Roman" w:hAnsi="Times New Roman" w:cs="Times New Roman"/>
          <w:b w:val="0"/>
          <w:bCs/>
          <w:sz w:val="24"/>
          <w:szCs w:val="24"/>
        </w:rPr>
        <w:t xml:space="preserve"> and 220 </w:t>
      </w:r>
      <w:proofErr w:type="spellStart"/>
      <w:r w:rsidR="00720CF5" w:rsidRPr="00720CF5">
        <w:rPr>
          <w:rFonts w:ascii="Times New Roman" w:hAnsi="Times New Roman" w:cs="Times New Roman"/>
          <w:b w:val="0"/>
          <w:bCs/>
          <w:sz w:val="24"/>
          <w:szCs w:val="24"/>
        </w:rPr>
        <w:t>μl</w:t>
      </w:r>
      <w:proofErr w:type="spellEnd"/>
      <w:r w:rsidR="00720CF5" w:rsidRPr="00720CF5">
        <w:rPr>
          <w:rFonts w:ascii="Times New Roman" w:hAnsi="Times New Roman" w:cs="Times New Roman"/>
          <w:b w:val="0"/>
          <w:bCs/>
          <w:sz w:val="24"/>
          <w:szCs w:val="24"/>
        </w:rPr>
        <w:t>, respectively. The synthesized TiO</w:t>
      </w:r>
      <w:r w:rsidR="00720CF5" w:rsidRPr="00720CF5">
        <w:rPr>
          <w:rFonts w:ascii="Times New Roman" w:hAnsi="Times New Roman" w:cs="Times New Roman"/>
          <w:b w:val="0"/>
          <w:bCs/>
          <w:sz w:val="24"/>
          <w:szCs w:val="24"/>
          <w:vertAlign w:val="subscript"/>
        </w:rPr>
        <w:t>2</w:t>
      </w:r>
      <w:r w:rsidR="00720CF5" w:rsidRPr="00720CF5">
        <w:rPr>
          <w:rFonts w:ascii="Times New Roman" w:hAnsi="Times New Roman" w:cs="Times New Roman"/>
          <w:b w:val="0"/>
          <w:bCs/>
          <w:sz w:val="24"/>
          <w:szCs w:val="24"/>
        </w:rPr>
        <w:t>@Silica nanoparticle suspension was centrifuged at 3000 g for 20 minutes and the pellet was dried in an oven at 70 °C for 12 h.</w:t>
      </w:r>
    </w:p>
    <w:p w:rsidR="006C621B" w:rsidRPr="00765D3E" w:rsidRDefault="006C621B" w:rsidP="0085571A">
      <w:pPr>
        <w:pStyle w:val="08SectionHeader1"/>
        <w:numPr>
          <w:ilvl w:val="0"/>
          <w:numId w:val="0"/>
        </w:numPr>
        <w:spacing w:before="0" w:line="480" w:lineRule="auto"/>
        <w:rPr>
          <w:rFonts w:ascii="Times New Roman" w:hAnsi="Times New Roman" w:cs="Times New Roman"/>
          <w:sz w:val="24"/>
          <w:szCs w:val="24"/>
        </w:rPr>
      </w:pPr>
      <w:r w:rsidRPr="00765D3E">
        <w:rPr>
          <w:rFonts w:ascii="Times New Roman" w:hAnsi="Times New Roman" w:cs="Times New Roman"/>
          <w:sz w:val="24"/>
          <w:szCs w:val="24"/>
        </w:rPr>
        <w:t>Long-range Coulomb interaction between scatterers</w:t>
      </w:r>
    </w:p>
    <w:p w:rsidR="006C621B" w:rsidRPr="00765D3E" w:rsidRDefault="006C621B" w:rsidP="00797FF2">
      <w:pPr>
        <w:pStyle w:val="10BodySubsequentParagraph"/>
        <w:spacing w:line="480" w:lineRule="auto"/>
        <w:ind w:firstLine="289"/>
        <w:rPr>
          <w:rFonts w:cs="Times New Roman"/>
          <w:sz w:val="24"/>
          <w:szCs w:val="24"/>
        </w:rPr>
      </w:pPr>
      <w:r w:rsidRPr="00765D3E">
        <w:rPr>
          <w:rFonts w:cs="Times New Roman"/>
          <w:sz w:val="24"/>
          <w:szCs w:val="24"/>
        </w:rPr>
        <w:t xml:space="preserve">According to the classical theory of </w:t>
      </w:r>
      <w:proofErr w:type="spellStart"/>
      <w:r w:rsidRPr="00765D3E">
        <w:rPr>
          <w:rFonts w:cs="Times New Roman"/>
          <w:sz w:val="24"/>
          <w:szCs w:val="24"/>
        </w:rPr>
        <w:t>Derjaguin</w:t>
      </w:r>
      <w:proofErr w:type="spellEnd"/>
      <w:r w:rsidRPr="00765D3E">
        <w:rPr>
          <w:rFonts w:cs="Times New Roman"/>
          <w:sz w:val="24"/>
          <w:szCs w:val="24"/>
        </w:rPr>
        <w:t>-Landau-Verwey-</w:t>
      </w:r>
      <w:proofErr w:type="spellStart"/>
      <w:r w:rsidRPr="00765D3E">
        <w:rPr>
          <w:rFonts w:cs="Times New Roman"/>
          <w:sz w:val="24"/>
          <w:szCs w:val="24"/>
        </w:rPr>
        <w:t>Overbeek</w:t>
      </w:r>
      <w:proofErr w:type="spellEnd"/>
      <w:r w:rsidRPr="00765D3E">
        <w:rPr>
          <w:rFonts w:cs="Times New Roman"/>
          <w:sz w:val="24"/>
          <w:szCs w:val="24"/>
        </w:rPr>
        <w:t xml:space="preserve"> (DLVO)</w:t>
      </w:r>
      <w:r w:rsidRPr="00765D3E">
        <w:rPr>
          <w:rFonts w:cs="Times New Roman"/>
          <w:sz w:val="24"/>
          <w:szCs w:val="24"/>
        </w:rPr>
        <w:fldChar w:fldCharType="begin" w:fldLock="1"/>
      </w:r>
      <w:r w:rsidR="00D67FB0">
        <w:rPr>
          <w:rFonts w:cs="Times New Roman"/>
          <w:sz w:val="24"/>
          <w:szCs w:val="24"/>
        </w:rPr>
        <w:instrText>ADDIN CSL_CITATION {"citationItems":[{"id":"ITEM-1","itemData":{"ISBN":"978-0-19-850502-0","author":[{"dropping-particle":"","family":"Hunter","given":"Robert J.","non-dropping-particle":"","parse-names":false,"suffix":""}],"edition":"2nd ED.","id":"ITEM-1","issued":{"date-parts":[["2001"]]},"number-of-pages":"806","publisher":"Oxfort University press","publisher-place":"Oxford; New york","title":"Foundations of Colloid Science","type":"book"},"uris":["http://www.mendeley.com/documents/?uuid=a1b93b6e-56f4-49bb-8970-9c79faa10c15"]}],"mendeley":{"formattedCitation":"&lt;sup&gt;1&lt;/sup&gt;","plainTextFormattedCitation":"1","previouslyFormattedCitation":"&lt;sup&gt;1&lt;/sup&gt;"},"properties":{"noteIndex":0},"schema":"https://github.com/citation-style-language/schema/raw/master/csl-citation.json"}</w:instrText>
      </w:r>
      <w:r w:rsidRPr="00765D3E">
        <w:rPr>
          <w:rFonts w:cs="Times New Roman"/>
          <w:sz w:val="24"/>
          <w:szCs w:val="24"/>
        </w:rPr>
        <w:fldChar w:fldCharType="separate"/>
      </w:r>
      <w:r w:rsidR="00D67FB0" w:rsidRPr="00D67FB0">
        <w:rPr>
          <w:rFonts w:cs="Times New Roman"/>
          <w:noProof/>
          <w:sz w:val="24"/>
          <w:szCs w:val="24"/>
          <w:vertAlign w:val="superscript"/>
        </w:rPr>
        <w:t>1</w:t>
      </w:r>
      <w:r w:rsidRPr="00765D3E">
        <w:rPr>
          <w:rFonts w:cs="Times New Roman"/>
          <w:sz w:val="24"/>
          <w:szCs w:val="24"/>
        </w:rPr>
        <w:fldChar w:fldCharType="end"/>
      </w:r>
      <w:r w:rsidRPr="00765D3E">
        <w:rPr>
          <w:rFonts w:cs="Times New Roman"/>
          <w:sz w:val="24"/>
          <w:szCs w:val="24"/>
        </w:rPr>
        <w:t>, the pair-wise particle interaction arises from the interplay of attractive van der Waals forces (</w:t>
      </w:r>
      <w:proofErr w:type="spellStart"/>
      <w:r w:rsidRPr="00765D3E">
        <w:rPr>
          <w:rFonts w:cs="Times New Roman"/>
          <w:sz w:val="24"/>
          <w:szCs w:val="24"/>
        </w:rPr>
        <w:t>F</w:t>
      </w:r>
      <w:r w:rsidRPr="00765D3E">
        <w:rPr>
          <w:rFonts w:cs="Times New Roman"/>
          <w:sz w:val="24"/>
          <w:szCs w:val="24"/>
          <w:vertAlign w:val="subscript"/>
        </w:rPr>
        <w:t>attr</w:t>
      </w:r>
      <w:proofErr w:type="spellEnd"/>
      <w:r w:rsidRPr="00765D3E">
        <w:rPr>
          <w:rFonts w:cs="Times New Roman"/>
          <w:sz w:val="24"/>
          <w:szCs w:val="24"/>
        </w:rPr>
        <w:t>) and repulsive Coulomb forces (</w:t>
      </w:r>
      <w:proofErr w:type="spellStart"/>
      <w:r w:rsidRPr="00765D3E">
        <w:rPr>
          <w:rFonts w:cs="Times New Roman"/>
          <w:sz w:val="24"/>
          <w:szCs w:val="24"/>
        </w:rPr>
        <w:t>F</w:t>
      </w:r>
      <w:r w:rsidRPr="00765D3E">
        <w:rPr>
          <w:rFonts w:cs="Times New Roman"/>
          <w:sz w:val="24"/>
          <w:szCs w:val="24"/>
          <w:vertAlign w:val="subscript"/>
        </w:rPr>
        <w:t>rep</w:t>
      </w:r>
      <w:proofErr w:type="spellEnd"/>
      <w:r w:rsidRPr="00765D3E">
        <w:rPr>
          <w:rFonts w:cs="Times New Roman"/>
          <w:sz w:val="24"/>
          <w:szCs w:val="24"/>
        </w:rPr>
        <w:t>, double layer force) screened by the Debye-</w:t>
      </w:r>
      <w:proofErr w:type="spellStart"/>
      <w:r w:rsidRPr="00765D3E">
        <w:rPr>
          <w:rFonts w:cs="Times New Roman"/>
          <w:sz w:val="24"/>
          <w:szCs w:val="24"/>
        </w:rPr>
        <w:t>Hückel</w:t>
      </w:r>
      <w:proofErr w:type="spellEnd"/>
      <w:r w:rsidRPr="00765D3E">
        <w:rPr>
          <w:rFonts w:cs="Times New Roman"/>
          <w:sz w:val="24"/>
          <w:szCs w:val="24"/>
        </w:rPr>
        <w:t xml:space="preserve"> ions’ cloud. The modulus of both interaction potentials (electrostatic repulsion, </w:t>
      </w:r>
      <w:proofErr w:type="spellStart"/>
      <w:r w:rsidRPr="00765D3E">
        <w:rPr>
          <w:rFonts w:cs="Times New Roman"/>
          <w:sz w:val="24"/>
          <w:szCs w:val="24"/>
        </w:rPr>
        <w:t>U</w:t>
      </w:r>
      <w:r w:rsidRPr="00765D3E">
        <w:rPr>
          <w:rFonts w:cs="Times New Roman"/>
          <w:sz w:val="24"/>
          <w:szCs w:val="24"/>
          <w:vertAlign w:val="subscript"/>
        </w:rPr>
        <w:t>elec</w:t>
      </w:r>
      <w:proofErr w:type="spellEnd"/>
      <w:r w:rsidRPr="00765D3E">
        <w:rPr>
          <w:rFonts w:cs="Times New Roman"/>
          <w:sz w:val="24"/>
          <w:szCs w:val="24"/>
        </w:rPr>
        <w:t xml:space="preserve">, and the van der Waals attraction, </w:t>
      </w:r>
      <w:proofErr w:type="spellStart"/>
      <w:r w:rsidRPr="00765D3E">
        <w:rPr>
          <w:rFonts w:cs="Times New Roman"/>
          <w:sz w:val="24"/>
          <w:szCs w:val="24"/>
        </w:rPr>
        <w:t>U</w:t>
      </w:r>
      <w:r w:rsidRPr="00765D3E">
        <w:rPr>
          <w:rFonts w:cs="Times New Roman"/>
          <w:sz w:val="24"/>
          <w:szCs w:val="24"/>
          <w:vertAlign w:val="subscript"/>
        </w:rPr>
        <w:t>vdw</w:t>
      </w:r>
      <w:proofErr w:type="spellEnd"/>
      <w:r w:rsidRPr="00765D3E">
        <w:rPr>
          <w:rFonts w:cs="Times New Roman"/>
          <w:sz w:val="24"/>
          <w:szCs w:val="24"/>
        </w:rPr>
        <w:t xml:space="preserve">) increases when the separation between particles decreases. The total interaction potential between two particles </w:t>
      </w:r>
      <w:r w:rsidRPr="00765D3E">
        <w:rPr>
          <w:rFonts w:cs="Times New Roman"/>
          <w:sz w:val="24"/>
          <w:szCs w:val="24"/>
        </w:rPr>
        <w:lastRenderedPageBreak/>
        <w:t>(</w:t>
      </w:r>
      <w:r w:rsidRPr="006E4024">
        <w:rPr>
          <w:rFonts w:cs="Times New Roman"/>
          <w:i/>
          <w:iCs/>
          <w:sz w:val="24"/>
          <w:szCs w:val="24"/>
        </w:rPr>
        <w:t>U</w:t>
      </w:r>
      <w:r w:rsidRPr="00997B8C">
        <w:rPr>
          <w:rFonts w:cs="Times New Roman"/>
          <w:sz w:val="24"/>
          <w:szCs w:val="24"/>
          <w:vertAlign w:val="subscript"/>
        </w:rPr>
        <w:t>T</w:t>
      </w:r>
      <w:r w:rsidRPr="00997B8C">
        <w:rPr>
          <w:rFonts w:cs="Times New Roman"/>
          <w:sz w:val="24"/>
          <w:szCs w:val="24"/>
          <w:vertAlign w:val="superscript"/>
        </w:rPr>
        <w:t>DLVO</w:t>
      </w:r>
      <w:r w:rsidRPr="00765D3E">
        <w:rPr>
          <w:rFonts w:cs="Times New Roman"/>
          <w:sz w:val="24"/>
          <w:szCs w:val="24"/>
        </w:rPr>
        <w:t>) can be expressed as the sum of the electrostatic repulsion (</w:t>
      </w:r>
      <w:proofErr w:type="spellStart"/>
      <w:r w:rsidRPr="00765D3E">
        <w:rPr>
          <w:rFonts w:cs="Times New Roman"/>
          <w:sz w:val="24"/>
          <w:szCs w:val="24"/>
        </w:rPr>
        <w:t>U</w:t>
      </w:r>
      <w:r w:rsidRPr="00765D3E">
        <w:rPr>
          <w:rFonts w:cs="Times New Roman"/>
          <w:sz w:val="24"/>
          <w:szCs w:val="24"/>
          <w:vertAlign w:val="subscript"/>
        </w:rPr>
        <w:t>elec</w:t>
      </w:r>
      <w:proofErr w:type="spellEnd"/>
      <w:r w:rsidRPr="00765D3E">
        <w:rPr>
          <w:rFonts w:cs="Times New Roman"/>
          <w:sz w:val="24"/>
          <w:szCs w:val="24"/>
        </w:rPr>
        <w:t>) and the van der Waals attraction (</w:t>
      </w:r>
      <w:proofErr w:type="spellStart"/>
      <w:r w:rsidRPr="00765D3E">
        <w:rPr>
          <w:rFonts w:cs="Times New Roman"/>
          <w:sz w:val="24"/>
          <w:szCs w:val="24"/>
        </w:rPr>
        <w:t>U</w:t>
      </w:r>
      <w:r w:rsidRPr="00765D3E">
        <w:rPr>
          <w:rFonts w:cs="Times New Roman"/>
          <w:sz w:val="24"/>
          <w:szCs w:val="24"/>
          <w:vertAlign w:val="subscript"/>
        </w:rPr>
        <w:t>vdw</w:t>
      </w:r>
      <w:proofErr w:type="spellEnd"/>
      <w:r w:rsidRPr="00765D3E">
        <w:rPr>
          <w:rFonts w:cs="Times New Roman"/>
          <w:sz w:val="24"/>
          <w:szCs w:val="24"/>
        </w:rPr>
        <w:t xml:space="preserve">): </w:t>
      </w:r>
      <w:r w:rsidRPr="006E4024">
        <w:rPr>
          <w:rFonts w:cs="Times New Roman"/>
          <w:i/>
          <w:iCs/>
          <w:sz w:val="24"/>
          <w:szCs w:val="24"/>
        </w:rPr>
        <w:t>U</w:t>
      </w:r>
      <w:r w:rsidRPr="006E4024">
        <w:rPr>
          <w:rFonts w:cs="Times New Roman"/>
          <w:sz w:val="24"/>
          <w:szCs w:val="24"/>
          <w:vertAlign w:val="subscript"/>
        </w:rPr>
        <w:t>T</w:t>
      </w:r>
      <w:r w:rsidRPr="006E4024">
        <w:rPr>
          <w:rFonts w:cs="Times New Roman"/>
          <w:sz w:val="24"/>
          <w:szCs w:val="24"/>
          <w:vertAlign w:val="superscript"/>
        </w:rPr>
        <w:t>DLVO</w:t>
      </w:r>
      <w:r w:rsidRPr="00765D3E">
        <w:rPr>
          <w:rFonts w:cs="Times New Roman"/>
          <w:sz w:val="24"/>
          <w:szCs w:val="24"/>
        </w:rPr>
        <w:t xml:space="preserve"> =</w:t>
      </w:r>
      <w:proofErr w:type="spellStart"/>
      <w:r w:rsidRPr="00765D3E">
        <w:rPr>
          <w:rFonts w:cs="Times New Roman"/>
          <w:sz w:val="24"/>
          <w:szCs w:val="24"/>
        </w:rPr>
        <w:t>U</w:t>
      </w:r>
      <w:r w:rsidRPr="00765D3E">
        <w:rPr>
          <w:rFonts w:cs="Times New Roman"/>
          <w:sz w:val="24"/>
          <w:szCs w:val="24"/>
          <w:vertAlign w:val="subscript"/>
        </w:rPr>
        <w:t>elec</w:t>
      </w:r>
      <w:proofErr w:type="spellEnd"/>
      <w:r w:rsidRPr="00765D3E">
        <w:rPr>
          <w:rFonts w:cs="Times New Roman"/>
          <w:sz w:val="24"/>
          <w:szCs w:val="24"/>
        </w:rPr>
        <w:t>(r)+</w:t>
      </w:r>
      <w:proofErr w:type="spellStart"/>
      <w:r w:rsidRPr="00765D3E">
        <w:rPr>
          <w:rFonts w:cs="Times New Roman"/>
          <w:sz w:val="24"/>
          <w:szCs w:val="24"/>
        </w:rPr>
        <w:t>U</w:t>
      </w:r>
      <w:r w:rsidRPr="00765D3E">
        <w:rPr>
          <w:rFonts w:cs="Times New Roman"/>
          <w:sz w:val="24"/>
          <w:szCs w:val="24"/>
          <w:vertAlign w:val="subscript"/>
        </w:rPr>
        <w:t>vdw</w:t>
      </w:r>
      <w:proofErr w:type="spellEnd"/>
      <w:r w:rsidRPr="00765D3E">
        <w:rPr>
          <w:rFonts w:cs="Times New Roman"/>
          <w:sz w:val="24"/>
          <w:szCs w:val="24"/>
        </w:rPr>
        <w:t>(r), where r is the distance (center-to-center) between two particles of radii a (r = h+2a, with h being the distance between the surfaces). Depending on the particle size and the thickness of the double layer, the electrostatic repulsion potential (</w:t>
      </w:r>
      <w:proofErr w:type="spellStart"/>
      <w:r w:rsidRPr="00765D3E">
        <w:rPr>
          <w:rFonts w:cs="Times New Roman"/>
          <w:sz w:val="24"/>
          <w:szCs w:val="24"/>
        </w:rPr>
        <w:t>U</w:t>
      </w:r>
      <w:r w:rsidRPr="00765D3E">
        <w:rPr>
          <w:rFonts w:cs="Times New Roman"/>
          <w:sz w:val="24"/>
          <w:szCs w:val="24"/>
          <w:vertAlign w:val="subscript"/>
        </w:rPr>
        <w:t>elec</w:t>
      </w:r>
      <w:proofErr w:type="spellEnd"/>
      <w:r w:rsidRPr="00765D3E">
        <w:rPr>
          <w:rFonts w:cs="Times New Roman"/>
          <w:sz w:val="24"/>
          <w:szCs w:val="24"/>
        </w:rPr>
        <w:t>) between two colloidal particles of radii a can be expressed as:</w:t>
      </w:r>
    </w:p>
    <w:p w:rsidR="006C621B" w:rsidRPr="00765D3E" w:rsidRDefault="00000000" w:rsidP="00811432">
      <w:pPr>
        <w:pStyle w:val="10BodySubsequentParagraph"/>
        <w:ind w:firstLine="289"/>
        <w:jc w:val="right"/>
        <w:rPr>
          <w:rFonts w:cs="Times New Roman"/>
          <w:sz w:val="24"/>
          <w:szCs w:val="24"/>
        </w:rPr>
      </w:pPr>
      <m:oMath>
        <m:sSub>
          <m:sSubPr>
            <m:ctrlPr>
              <w:rPr>
                <w:rFonts w:ascii="Cambria Math" w:hAnsi="Cambria Math" w:cs="Times New Roman"/>
                <w:iCs/>
                <w:sz w:val="24"/>
                <w:szCs w:val="24"/>
              </w:rPr>
            </m:ctrlPr>
          </m:sSubPr>
          <m:e>
            <m:r>
              <m:rPr>
                <m:sty m:val="p"/>
              </m:rPr>
              <w:rPr>
                <w:rFonts w:ascii="Cambria Math" w:hAnsi="Cambria Math" w:cs="Times New Roman"/>
                <w:sz w:val="24"/>
                <w:szCs w:val="24"/>
              </w:rPr>
              <m:t>U</m:t>
            </m:r>
          </m:e>
          <m:sub>
            <m:r>
              <m:rPr>
                <m:sty m:val="p"/>
              </m:rPr>
              <w:rPr>
                <w:rFonts w:ascii="Cambria Math" w:hAnsi="Cambria Math" w:cs="Times New Roman"/>
                <w:sz w:val="24"/>
                <w:szCs w:val="24"/>
              </w:rPr>
              <m:t>elec</m:t>
            </m:r>
          </m:sub>
        </m:sSub>
        <m:d>
          <m:dPr>
            <m:ctrlPr>
              <w:rPr>
                <w:rFonts w:ascii="Cambria Math" w:hAnsi="Cambria Math" w:cs="Times New Roman"/>
                <w:i/>
                <w:sz w:val="24"/>
                <w:szCs w:val="24"/>
              </w:rPr>
            </m:ctrlPr>
          </m:dPr>
          <m:e>
            <m:r>
              <w:rPr>
                <w:rFonts w:ascii="Cambria Math" w:hAnsi="Cambria Math" w:cs="Times New Roman"/>
                <w:sz w:val="24"/>
                <w:szCs w:val="24"/>
              </w:rPr>
              <m:t>r</m:t>
            </m:r>
          </m:e>
        </m:d>
        <m:r>
          <w:rPr>
            <w:rFonts w:ascii="Cambria Math" w:hAnsi="Cambria Math" w:cs="Times New Roman"/>
            <w:sz w:val="24"/>
            <w:szCs w:val="24"/>
          </w:rPr>
          <m:t>=</m:t>
        </m:r>
        <m:r>
          <m:rPr>
            <m:sty m:val="p"/>
          </m:rPr>
          <w:rPr>
            <w:rFonts w:ascii="Cambria Math" w:hAnsi="Cambria Math" w:cs="Times New Roman"/>
            <w:sz w:val="24"/>
            <w:szCs w:val="24"/>
          </w:rPr>
          <m:t>2π</m:t>
        </m:r>
        <m:sSub>
          <m:sSubPr>
            <m:ctrlPr>
              <w:rPr>
                <w:rFonts w:ascii="Cambria Math" w:hAnsi="Cambria Math" w:cs="Times New Roman"/>
                <w:iCs/>
                <w:sz w:val="24"/>
                <w:szCs w:val="24"/>
              </w:rPr>
            </m:ctrlPr>
          </m:sSubPr>
          <m:e>
            <m:r>
              <m:rPr>
                <m:sty m:val="p"/>
              </m:rPr>
              <w:rPr>
                <w:rFonts w:ascii="Cambria Math" w:hAnsi="Cambria Math" w:cs="Times New Roman"/>
                <w:sz w:val="24"/>
                <w:szCs w:val="24"/>
              </w:rPr>
              <m:t>ε</m:t>
            </m:r>
          </m:e>
          <m:sub>
            <m:r>
              <m:rPr>
                <m:sty m:val="p"/>
              </m:rPr>
              <w:rPr>
                <w:rFonts w:ascii="Cambria Math" w:hAnsi="Cambria Math" w:cs="Times New Roman"/>
                <w:sz w:val="24"/>
                <w:szCs w:val="24"/>
              </w:rPr>
              <m:t>0</m:t>
            </m:r>
          </m:sub>
        </m:sSub>
        <m:sSub>
          <m:sSubPr>
            <m:ctrlPr>
              <w:rPr>
                <w:rFonts w:ascii="Cambria Math" w:hAnsi="Cambria Math" w:cs="Times New Roman"/>
                <w:iCs/>
                <w:sz w:val="24"/>
                <w:szCs w:val="24"/>
              </w:rPr>
            </m:ctrlPr>
          </m:sSubPr>
          <m:e>
            <m:r>
              <m:rPr>
                <m:sty m:val="p"/>
              </m:rPr>
              <w:rPr>
                <w:rFonts w:ascii="Cambria Math" w:hAnsi="Cambria Math" w:cs="Times New Roman"/>
                <w:iCs/>
                <w:sz w:val="24"/>
                <w:szCs w:val="24"/>
              </w:rPr>
              <w:sym w:font="Symbol" w:char="F065"/>
            </m:r>
          </m:e>
          <m:sub>
            <m:r>
              <m:rPr>
                <m:sty m:val="p"/>
              </m:rPr>
              <w:rPr>
                <w:rFonts w:ascii="Cambria Math" w:hAnsi="Cambria Math" w:cs="Times New Roman"/>
                <w:sz w:val="24"/>
                <w:szCs w:val="24"/>
              </w:rPr>
              <m:t>r</m:t>
            </m:r>
          </m:sub>
        </m:sSub>
        <m:d>
          <m:dPr>
            <m:ctrlPr>
              <w:rPr>
                <w:rFonts w:ascii="Cambria Math" w:hAnsi="Cambria Math" w:cs="Times New Roman"/>
                <w:i/>
                <w:sz w:val="24"/>
                <w:szCs w:val="24"/>
              </w:rPr>
            </m:ctrlPr>
          </m:dPr>
          <m:e>
            <m:r>
              <w:rPr>
                <w:rFonts w:ascii="Cambria Math" w:hAnsi="Cambria Math" w:cs="Times New Roman"/>
                <w:sz w:val="24"/>
                <w:szCs w:val="24"/>
              </w:rPr>
              <m:t>a+</m:t>
            </m:r>
            <m:r>
              <m:rPr>
                <m:sty m:val="p"/>
              </m:rPr>
              <w:rPr>
                <w:rFonts w:ascii="Cambria Math" w:hAnsi="Cambria Math" w:cs="Times New Roman"/>
                <w:sz w:val="24"/>
                <w:szCs w:val="24"/>
              </w:rPr>
              <m:t>Δ</m:t>
            </m:r>
          </m:e>
        </m:d>
        <m:sSup>
          <m:sSupPr>
            <m:ctrlPr>
              <w:rPr>
                <w:rFonts w:ascii="Cambria Math" w:hAnsi="Cambria Math" w:cs="Times New Roman"/>
                <w:i/>
                <w:sz w:val="24"/>
                <w:szCs w:val="24"/>
              </w:rPr>
            </m:ctrlPr>
          </m:sSupPr>
          <m:e>
            <m:sSub>
              <m:sSubPr>
                <m:ctrlPr>
                  <w:rPr>
                    <w:rFonts w:ascii="Cambria Math" w:hAnsi="Cambria Math" w:cs="Times New Roman"/>
                    <w:i/>
                    <w:sz w:val="24"/>
                    <w:szCs w:val="24"/>
                  </w:rPr>
                </m:ctrlPr>
              </m:sSubPr>
              <m:e>
                <m:r>
                  <m:rPr>
                    <m:sty m:val="p"/>
                  </m:rPr>
                  <w:rPr>
                    <w:rFonts w:ascii="Cambria Math" w:hAnsi="Cambria Math" w:cs="Times New Roman"/>
                    <w:sz w:val="24"/>
                    <w:szCs w:val="24"/>
                  </w:rPr>
                  <m:t>ψ</m:t>
                </m:r>
              </m:e>
              <m:sub>
                <m:r>
                  <w:rPr>
                    <w:rFonts w:ascii="Cambria Math" w:hAnsi="Cambria Math" w:cs="Times New Roman"/>
                    <w:sz w:val="24"/>
                    <w:szCs w:val="24"/>
                  </w:rPr>
                  <m:t>0</m:t>
                </m:r>
              </m:sub>
            </m:sSub>
          </m:e>
          <m:sup>
            <m:r>
              <w:rPr>
                <w:rFonts w:ascii="Cambria Math" w:hAnsi="Cambria Math" w:cs="Times New Roman"/>
                <w:sz w:val="24"/>
                <w:szCs w:val="24"/>
              </w:rPr>
              <m:t>2</m:t>
            </m:r>
          </m:sup>
        </m:sSup>
        <m:sSup>
          <m:sSupPr>
            <m:ctrlPr>
              <w:rPr>
                <w:rFonts w:ascii="Cambria Math" w:hAnsi="Cambria Math" w:cs="Times New Roman"/>
                <w:i/>
                <w:sz w:val="24"/>
                <w:szCs w:val="24"/>
              </w:rPr>
            </m:ctrlPr>
          </m:sSupPr>
          <m:e>
            <m:r>
              <w:rPr>
                <w:rFonts w:ascii="Cambria Math" w:hAnsi="Cambria Math" w:cs="Times New Roman"/>
                <w:sz w:val="24"/>
                <w:szCs w:val="24"/>
              </w:rPr>
              <m:t>e</m:t>
            </m:r>
          </m:e>
          <m:sup>
            <m:d>
              <m:dPr>
                <m:begChr m:val="["/>
                <m:endChr m:val="]"/>
                <m:ctrlPr>
                  <w:rPr>
                    <w:rFonts w:ascii="Cambria Math" w:hAnsi="Cambria Math" w:cs="Times New Roman"/>
                    <w:i/>
                    <w:sz w:val="24"/>
                    <w:szCs w:val="24"/>
                  </w:rPr>
                </m:ctrlPr>
              </m:dPr>
              <m:e>
                <m:r>
                  <w:rPr>
                    <w:rFonts w:ascii="Cambria Math" w:hAnsi="Cambria Math" w:cs="Times New Roman"/>
                    <w:sz w:val="24"/>
                    <w:szCs w:val="24"/>
                  </w:rPr>
                  <m:t>-κ</m:t>
                </m:r>
                <m:d>
                  <m:dPr>
                    <m:ctrlPr>
                      <w:rPr>
                        <w:rFonts w:ascii="Cambria Math" w:hAnsi="Cambria Math" w:cs="Times New Roman"/>
                        <w:i/>
                        <w:sz w:val="24"/>
                        <w:szCs w:val="24"/>
                      </w:rPr>
                    </m:ctrlPr>
                  </m:dPr>
                  <m:e>
                    <m:r>
                      <w:rPr>
                        <w:rFonts w:ascii="Cambria Math" w:hAnsi="Cambria Math" w:cs="Times New Roman"/>
                        <w:sz w:val="24"/>
                        <w:szCs w:val="24"/>
                      </w:rPr>
                      <m:t>r-2</m:t>
                    </m:r>
                    <m:r>
                      <m:rPr>
                        <m:sty m:val="p"/>
                      </m:rPr>
                      <w:rPr>
                        <w:rFonts w:ascii="Cambria Math" w:hAnsi="Cambria Math" w:cs="Times New Roman"/>
                        <w:sz w:val="24"/>
                        <w:szCs w:val="24"/>
                      </w:rPr>
                      <m:t>Δ-2a</m:t>
                    </m:r>
                  </m:e>
                </m:d>
              </m:e>
            </m:d>
          </m:sup>
        </m:sSup>
      </m:oMath>
      <w:r w:rsidR="006C621B" w:rsidRPr="00765D3E">
        <w:rPr>
          <w:rFonts w:cs="Times New Roman"/>
          <w:sz w:val="24"/>
          <w:szCs w:val="24"/>
        </w:rPr>
        <w:t xml:space="preserve">                           (A1)</w:t>
      </w:r>
    </w:p>
    <w:p w:rsidR="006C621B" w:rsidRPr="00765D3E" w:rsidRDefault="006C621B" w:rsidP="006C621B">
      <w:pPr>
        <w:pStyle w:val="10BodySubsequentParagraph"/>
        <w:spacing w:before="120" w:line="480" w:lineRule="auto"/>
        <w:rPr>
          <w:rFonts w:cs="Times New Roman"/>
          <w:sz w:val="24"/>
          <w:szCs w:val="24"/>
        </w:rPr>
      </w:pPr>
      <w:r w:rsidRPr="00765D3E">
        <w:rPr>
          <w:rFonts w:cs="Times New Roman"/>
          <w:sz w:val="24"/>
          <w:szCs w:val="24"/>
        </w:rPr>
        <w:t xml:space="preserve">Where </w:t>
      </w:r>
      <w:r w:rsidRPr="00765D3E">
        <w:rPr>
          <w:rFonts w:cs="Times New Roman"/>
          <w:sz w:val="24"/>
          <w:szCs w:val="24"/>
        </w:rPr>
        <w:sym w:font="Symbol" w:char="F065"/>
      </w:r>
      <w:r w:rsidRPr="00765D3E">
        <w:rPr>
          <w:rFonts w:cs="Times New Roman"/>
          <w:sz w:val="24"/>
          <w:szCs w:val="24"/>
          <w:vertAlign w:val="subscript"/>
        </w:rPr>
        <w:t>r</w:t>
      </w:r>
      <w:r w:rsidRPr="00765D3E">
        <w:rPr>
          <w:rFonts w:cs="Times New Roman"/>
          <w:sz w:val="24"/>
          <w:szCs w:val="24"/>
        </w:rPr>
        <w:t xml:space="preserve"> is the permittivity of the medium, </w:t>
      </w:r>
      <w:r w:rsidRPr="00765D3E">
        <w:rPr>
          <w:rFonts w:cs="Times New Roman"/>
          <w:sz w:val="24"/>
          <w:szCs w:val="24"/>
        </w:rPr>
        <w:sym w:font="Symbol" w:char="F059"/>
      </w:r>
      <w:r w:rsidRPr="00765D3E">
        <w:rPr>
          <w:rFonts w:cs="Times New Roman"/>
          <w:sz w:val="24"/>
          <w:szCs w:val="24"/>
          <w:vertAlign w:val="subscript"/>
        </w:rPr>
        <w:t>0</w:t>
      </w:r>
      <w:r w:rsidRPr="00765D3E">
        <w:rPr>
          <w:rFonts w:cs="Times New Roman"/>
          <w:sz w:val="24"/>
          <w:szCs w:val="24"/>
        </w:rPr>
        <w:t xml:space="preserve"> is the potential at the particle surface, which can be estimated from the </w:t>
      </w:r>
      <w:r w:rsidRPr="00765D3E">
        <w:rPr>
          <w:rFonts w:cs="Times New Roman"/>
          <w:sz w:val="24"/>
          <w:szCs w:val="24"/>
        </w:rPr>
        <w:sym w:font="Symbol" w:char="F078"/>
      </w:r>
      <w:r w:rsidRPr="00765D3E">
        <w:rPr>
          <w:rFonts w:cs="Times New Roman"/>
          <w:sz w:val="24"/>
          <w:szCs w:val="24"/>
        </w:rPr>
        <w:t>-potential measurements</w:t>
      </w:r>
      <w:r w:rsidRPr="00765D3E">
        <w:rPr>
          <w:rFonts w:cs="Times New Roman"/>
          <w:sz w:val="24"/>
          <w:szCs w:val="24"/>
        </w:rPr>
        <w:fldChar w:fldCharType="begin" w:fldLock="1"/>
      </w:r>
      <w:r w:rsidR="00D67FB0">
        <w:rPr>
          <w:rFonts w:cs="Times New Roman"/>
          <w:sz w:val="24"/>
          <w:szCs w:val="24"/>
        </w:rPr>
        <w:instrText>ADDIN CSL_CITATION {"citationItems":[{"id":"ITEM-1","itemData":{"DOI":"10.1007/BF00653226","ISSN":"0303-402X","author":[{"dropping-particle":"","family":"Bastos","given":"D.","non-dropping-particle":"","parse-names":false,"suffix":""},{"dropping-particle":"","family":"las Nieves","given":"F. J.","non-dropping-particle":"de","parse-names":false,"suffix":""}],"container-title":"Colloid and Polymer Science","id":"ITEM-1","issue":"5","issued":{"date-parts":[["1994","5"]]},"page":"592-597","title":"Colloidal stability of sulfonated polystyrene model colloids. Correlation with electrokinetic data","type":"article-journal","volume":"272"},"uris":["http://www.mendeley.com/documents/?uuid=f145bcbd-6c02-4a1b-974f-5a8b280b692c"]}],"mendeley":{"formattedCitation":"&lt;sup&gt;2&lt;/sup&gt;","plainTextFormattedCitation":"2","previouslyFormattedCitation":"&lt;sup&gt;2&lt;/sup&gt;"},"properties":{"noteIndex":0},"schema":"https://github.com/citation-style-language/schema/raw/master/csl-citation.json"}</w:instrText>
      </w:r>
      <w:r w:rsidRPr="00765D3E">
        <w:rPr>
          <w:rFonts w:cs="Times New Roman"/>
          <w:sz w:val="24"/>
          <w:szCs w:val="24"/>
        </w:rPr>
        <w:fldChar w:fldCharType="separate"/>
      </w:r>
      <w:r w:rsidR="00D67FB0" w:rsidRPr="00D67FB0">
        <w:rPr>
          <w:rFonts w:cs="Times New Roman"/>
          <w:noProof/>
          <w:sz w:val="24"/>
          <w:szCs w:val="24"/>
          <w:vertAlign w:val="superscript"/>
        </w:rPr>
        <w:t>2</w:t>
      </w:r>
      <w:r w:rsidRPr="00765D3E">
        <w:rPr>
          <w:rFonts w:cs="Times New Roman"/>
          <w:sz w:val="24"/>
          <w:szCs w:val="24"/>
        </w:rPr>
        <w:fldChar w:fldCharType="end"/>
      </w:r>
      <w:r w:rsidRPr="00765D3E">
        <w:rPr>
          <w:rFonts w:cs="Times New Roman"/>
          <w:sz w:val="24"/>
          <w:szCs w:val="24"/>
        </w:rPr>
        <w:t xml:space="preserve">, </w:t>
      </w:r>
      <w:r w:rsidRPr="00765D3E">
        <w:rPr>
          <w:rFonts w:cs="Times New Roman"/>
          <w:i/>
          <w:iCs/>
          <w:sz w:val="24"/>
          <w:szCs w:val="24"/>
        </w:rPr>
        <w:sym w:font="Symbol" w:char="F06B"/>
      </w:r>
      <w:r w:rsidRPr="00765D3E">
        <w:rPr>
          <w:rFonts w:cs="Times New Roman"/>
          <w:sz w:val="24"/>
          <w:szCs w:val="24"/>
        </w:rPr>
        <w:t xml:space="preserve"> is the inverse Debye length (</w:t>
      </w:r>
      <w:r w:rsidRPr="00765D3E">
        <w:rPr>
          <w:rFonts w:cs="Times New Roman"/>
          <w:sz w:val="24"/>
          <w:szCs w:val="24"/>
        </w:rPr>
        <w:sym w:font="Symbol" w:char="F06C"/>
      </w:r>
      <w:r w:rsidRPr="00765D3E">
        <w:rPr>
          <w:rFonts w:cs="Times New Roman"/>
          <w:sz w:val="24"/>
          <w:szCs w:val="24"/>
          <w:vertAlign w:val="subscript"/>
        </w:rPr>
        <w:t>Debye</w:t>
      </w:r>
      <w:r w:rsidRPr="00765D3E">
        <w:rPr>
          <w:rFonts w:cs="Times New Roman"/>
          <w:sz w:val="24"/>
          <w:szCs w:val="24"/>
        </w:rPr>
        <w:t xml:space="preserve">), which is the thickness of the double layer and </w:t>
      </w:r>
      <w:r w:rsidRPr="00765D3E">
        <w:rPr>
          <w:rFonts w:cs="Times New Roman"/>
          <w:sz w:val="24"/>
          <w:szCs w:val="24"/>
        </w:rPr>
        <w:sym w:font="Symbol" w:char="F044"/>
      </w:r>
      <w:r w:rsidRPr="00765D3E">
        <w:rPr>
          <w:rFonts w:cs="Times New Roman"/>
          <w:sz w:val="24"/>
          <w:szCs w:val="24"/>
        </w:rPr>
        <w:t xml:space="preserve"> is the thickness of the Stern layer. For spherical particles with constant surface potential and the background ionic strength, the van der Waals attraction </w:t>
      </w:r>
      <w:proofErr w:type="spellStart"/>
      <w:r w:rsidRPr="00765D3E">
        <w:rPr>
          <w:rFonts w:cs="Times New Roman"/>
          <w:sz w:val="24"/>
          <w:szCs w:val="24"/>
        </w:rPr>
        <w:t>U</w:t>
      </w:r>
      <w:r w:rsidRPr="00765D3E">
        <w:rPr>
          <w:rFonts w:cs="Times New Roman"/>
          <w:sz w:val="24"/>
          <w:szCs w:val="24"/>
          <w:vertAlign w:val="subscript"/>
        </w:rPr>
        <w:t>vdw</w:t>
      </w:r>
      <w:proofErr w:type="spellEnd"/>
      <w:r w:rsidRPr="00765D3E">
        <w:rPr>
          <w:rFonts w:cs="Times New Roman"/>
          <w:sz w:val="24"/>
          <w:szCs w:val="24"/>
        </w:rPr>
        <w:t xml:space="preserve"> between the two particles can be calculated as:</w:t>
      </w:r>
    </w:p>
    <w:p w:rsidR="006C621B" w:rsidRPr="00765D3E" w:rsidRDefault="006C621B" w:rsidP="00811432">
      <w:pPr>
        <w:pStyle w:val="10BodySubsequentParagraph"/>
        <w:ind w:firstLine="289"/>
        <w:jc w:val="right"/>
        <w:rPr>
          <w:rFonts w:cs="Times New Roman"/>
          <w:sz w:val="24"/>
          <w:szCs w:val="24"/>
        </w:rPr>
      </w:pPr>
      <w:r w:rsidRPr="00765D3E">
        <w:rPr>
          <w:rFonts w:cs="Times New Roman"/>
          <w:sz w:val="24"/>
          <w:szCs w:val="24"/>
        </w:rPr>
        <w:t xml:space="preserve"> </w:t>
      </w:r>
      <m:oMath>
        <m:sSub>
          <m:sSubPr>
            <m:ctrlPr>
              <w:rPr>
                <w:rFonts w:ascii="Cambria Math" w:hAnsi="Cambria Math" w:cs="Times New Roman"/>
                <w:iCs/>
                <w:sz w:val="24"/>
                <w:szCs w:val="24"/>
              </w:rPr>
            </m:ctrlPr>
          </m:sSubPr>
          <m:e>
            <m:r>
              <m:rPr>
                <m:sty m:val="p"/>
              </m:rPr>
              <w:rPr>
                <w:rFonts w:ascii="Cambria Math" w:hAnsi="Cambria Math" w:cs="Times New Roman"/>
                <w:sz w:val="24"/>
                <w:szCs w:val="24"/>
              </w:rPr>
              <m:t>U</m:t>
            </m:r>
          </m:e>
          <m:sub>
            <m:r>
              <m:rPr>
                <m:sty m:val="p"/>
              </m:rPr>
              <w:rPr>
                <w:rFonts w:ascii="Cambria Math" w:hAnsi="Cambria Math" w:cs="Times New Roman"/>
                <w:sz w:val="24"/>
                <w:szCs w:val="24"/>
              </w:rPr>
              <m:t>vdw</m:t>
            </m:r>
          </m:sub>
        </m:sSub>
        <m:d>
          <m:dPr>
            <m:ctrlPr>
              <w:rPr>
                <w:rFonts w:ascii="Cambria Math" w:hAnsi="Cambria Math" w:cs="Times New Roman"/>
                <w:i/>
                <w:sz w:val="24"/>
                <w:szCs w:val="24"/>
              </w:rPr>
            </m:ctrlPr>
          </m:dPr>
          <m:e>
            <m:r>
              <w:rPr>
                <w:rFonts w:ascii="Cambria Math" w:hAnsi="Cambria Math" w:cs="Times New Roman"/>
                <w:sz w:val="24"/>
                <w:szCs w:val="24"/>
              </w:rPr>
              <m:t>r</m:t>
            </m:r>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A</m:t>
            </m:r>
          </m:num>
          <m:den>
            <m:r>
              <w:rPr>
                <w:rFonts w:ascii="Cambria Math" w:hAnsi="Cambria Math" w:cs="Times New Roman"/>
                <w:sz w:val="24"/>
                <w:szCs w:val="24"/>
              </w:rPr>
              <m:t>6</m:t>
            </m:r>
          </m:den>
        </m:f>
        <m:d>
          <m:dPr>
            <m:begChr m:val="["/>
            <m:endChr m:val="]"/>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2</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num>
              <m:den>
                <m:sSup>
                  <m:sSupPr>
                    <m:ctrlPr>
                      <w:rPr>
                        <w:rFonts w:ascii="Cambria Math" w:hAnsi="Cambria Math" w:cs="Times New Roman"/>
                        <w:i/>
                        <w:sz w:val="24"/>
                        <w:szCs w:val="24"/>
                      </w:rPr>
                    </m:ctrlPr>
                  </m:sSupPr>
                  <m:e>
                    <m:r>
                      <w:rPr>
                        <w:rFonts w:ascii="Cambria Math" w:hAnsi="Cambria Math" w:cs="Times New Roman"/>
                        <w:sz w:val="24"/>
                        <w:szCs w:val="24"/>
                      </w:rPr>
                      <m:t>r</m:t>
                    </m:r>
                  </m:e>
                  <m:sup>
                    <m:r>
                      <w:rPr>
                        <w:rFonts w:ascii="Cambria Math" w:hAnsi="Cambria Math" w:cs="Times New Roman"/>
                        <w:sz w:val="24"/>
                        <w:szCs w:val="24"/>
                      </w:rPr>
                      <m:t>2</m:t>
                    </m:r>
                  </m:sup>
                </m:sSup>
                <m:r>
                  <w:rPr>
                    <w:rFonts w:ascii="Cambria Math" w:hAnsi="Cambria Math" w:cs="Times New Roman"/>
                    <w:sz w:val="24"/>
                    <w:szCs w:val="24"/>
                  </w:rPr>
                  <m:t>-4</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2</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num>
              <m:den>
                <m:sSup>
                  <m:sSupPr>
                    <m:ctrlPr>
                      <w:rPr>
                        <w:rFonts w:ascii="Cambria Math" w:hAnsi="Cambria Math" w:cs="Times New Roman"/>
                        <w:i/>
                        <w:sz w:val="24"/>
                        <w:szCs w:val="24"/>
                      </w:rPr>
                    </m:ctrlPr>
                  </m:sSupPr>
                  <m:e>
                    <m:r>
                      <w:rPr>
                        <w:rFonts w:ascii="Cambria Math" w:hAnsi="Cambria Math" w:cs="Times New Roman"/>
                        <w:sz w:val="24"/>
                        <w:szCs w:val="24"/>
                      </w:rPr>
                      <m:t>r</m:t>
                    </m:r>
                  </m:e>
                  <m:sup>
                    <m:r>
                      <w:rPr>
                        <w:rFonts w:ascii="Cambria Math" w:hAnsi="Cambria Math" w:cs="Times New Roman"/>
                        <w:sz w:val="24"/>
                        <w:szCs w:val="24"/>
                      </w:rPr>
                      <m:t>2</m:t>
                    </m:r>
                  </m:sup>
                </m:sSup>
              </m:den>
            </m:f>
            <m:r>
              <w:rPr>
                <w:rFonts w:ascii="Cambria Math" w:hAnsi="Cambria Math" w:cs="Times New Roman"/>
                <w:sz w:val="24"/>
                <w:szCs w:val="24"/>
              </w:rPr>
              <m:t>+</m:t>
            </m:r>
            <m:func>
              <m:funcPr>
                <m:ctrlPr>
                  <w:rPr>
                    <w:rFonts w:ascii="Cambria Math" w:hAnsi="Cambria Math" w:cs="Times New Roman"/>
                    <w:i/>
                    <w:sz w:val="24"/>
                    <w:szCs w:val="24"/>
                  </w:rPr>
                </m:ctrlPr>
              </m:funcPr>
              <m:fName>
                <m:r>
                  <m:rPr>
                    <m:sty m:val="p"/>
                  </m:rPr>
                  <w:rPr>
                    <w:rFonts w:ascii="Cambria Math" w:hAnsi="Cambria Math" w:cs="Times New Roman"/>
                    <w:sz w:val="24"/>
                    <w:szCs w:val="24"/>
                  </w:rPr>
                  <m:t>ln</m:t>
                </m:r>
              </m:fName>
              <m:e>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rPr>
                          <m:t>r</m:t>
                        </m:r>
                      </m:e>
                      <m:sup>
                        <m:r>
                          <w:rPr>
                            <w:rFonts w:ascii="Cambria Math" w:hAnsi="Cambria Math" w:cs="Times New Roman"/>
                            <w:sz w:val="24"/>
                            <w:szCs w:val="24"/>
                          </w:rPr>
                          <m:t>2</m:t>
                        </m:r>
                      </m:sup>
                    </m:sSup>
                    <m:r>
                      <w:rPr>
                        <w:rFonts w:ascii="Cambria Math" w:hAnsi="Cambria Math" w:cs="Times New Roman"/>
                        <w:sz w:val="24"/>
                        <w:szCs w:val="24"/>
                      </w:rPr>
                      <m:t>-4</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num>
                  <m:den>
                    <m:sSup>
                      <m:sSupPr>
                        <m:ctrlPr>
                          <w:rPr>
                            <w:rFonts w:ascii="Cambria Math" w:hAnsi="Cambria Math" w:cs="Times New Roman"/>
                            <w:i/>
                            <w:sz w:val="24"/>
                            <w:szCs w:val="24"/>
                          </w:rPr>
                        </m:ctrlPr>
                      </m:sSupPr>
                      <m:e>
                        <m:r>
                          <w:rPr>
                            <w:rFonts w:ascii="Cambria Math" w:hAnsi="Cambria Math" w:cs="Times New Roman"/>
                            <w:sz w:val="24"/>
                            <w:szCs w:val="24"/>
                          </w:rPr>
                          <m:t>r</m:t>
                        </m:r>
                      </m:e>
                      <m:sup>
                        <m:r>
                          <w:rPr>
                            <w:rFonts w:ascii="Cambria Math" w:hAnsi="Cambria Math" w:cs="Times New Roman"/>
                            <w:sz w:val="24"/>
                            <w:szCs w:val="24"/>
                          </w:rPr>
                          <m:t>2</m:t>
                        </m:r>
                      </m:sup>
                    </m:sSup>
                  </m:den>
                </m:f>
              </m:e>
            </m:func>
          </m:e>
        </m:d>
      </m:oMath>
      <w:r w:rsidRPr="00765D3E">
        <w:rPr>
          <w:rFonts w:cs="Times New Roman"/>
          <w:sz w:val="24"/>
          <w:szCs w:val="24"/>
        </w:rPr>
        <w:t xml:space="preserve">                             (A2)</w:t>
      </w:r>
    </w:p>
    <w:p w:rsidR="006C621B" w:rsidRPr="00765D3E" w:rsidRDefault="006C621B" w:rsidP="006C621B">
      <w:pPr>
        <w:pBdr>
          <w:top w:val="nil"/>
          <w:left w:val="nil"/>
          <w:bottom w:val="nil"/>
          <w:right w:val="nil"/>
          <w:between w:val="nil"/>
        </w:pBdr>
        <w:spacing w:before="120" w:line="480" w:lineRule="auto"/>
        <w:jc w:val="both"/>
        <w:rPr>
          <w:lang w:val="en-US"/>
        </w:rPr>
      </w:pPr>
      <w:r w:rsidRPr="00765D3E">
        <w:rPr>
          <w:lang w:val="en-US"/>
        </w:rPr>
        <w:t xml:space="preserve">where </w:t>
      </w:r>
      <w:r w:rsidRPr="00765D3E">
        <w:rPr>
          <w:i/>
          <w:lang w:val="en-US"/>
        </w:rPr>
        <w:t>A</w:t>
      </w:r>
      <w:r w:rsidRPr="00765D3E">
        <w:rPr>
          <w:lang w:val="en-US"/>
        </w:rPr>
        <w:t xml:space="preserve"> is the </w:t>
      </w:r>
      <w:proofErr w:type="spellStart"/>
      <w:r w:rsidRPr="00765D3E">
        <w:rPr>
          <w:lang w:val="en-US"/>
        </w:rPr>
        <w:t>Hamaker</w:t>
      </w:r>
      <w:proofErr w:type="spellEnd"/>
      <w:r w:rsidRPr="00765D3E">
        <w:rPr>
          <w:lang w:val="en-US"/>
        </w:rPr>
        <w:t xml:space="preserve"> constant, which is for short-range and plays an important role in describing the attraction energy between particles. Note that the modulus of both potentials (</w:t>
      </w:r>
      <w:proofErr w:type="spellStart"/>
      <w:r w:rsidRPr="00765D3E">
        <w:rPr>
          <w:lang w:val="en-US"/>
        </w:rPr>
        <w:t>U</w:t>
      </w:r>
      <w:r w:rsidRPr="00765D3E">
        <w:rPr>
          <w:vertAlign w:val="subscript"/>
          <w:lang w:val="en-US"/>
        </w:rPr>
        <w:t>elec</w:t>
      </w:r>
      <w:proofErr w:type="spellEnd"/>
      <w:r w:rsidRPr="00765D3E">
        <w:rPr>
          <w:lang w:val="en-US"/>
        </w:rPr>
        <w:t xml:space="preserve"> and </w:t>
      </w:r>
      <w:proofErr w:type="spellStart"/>
      <w:r w:rsidRPr="00765D3E">
        <w:rPr>
          <w:lang w:val="en-US"/>
        </w:rPr>
        <w:t>U</w:t>
      </w:r>
      <w:r w:rsidRPr="00765D3E">
        <w:rPr>
          <w:vertAlign w:val="subscript"/>
          <w:lang w:val="en-US"/>
        </w:rPr>
        <w:t>vdw</w:t>
      </w:r>
      <w:proofErr w:type="spellEnd"/>
      <w:r w:rsidRPr="00765D3E">
        <w:rPr>
          <w:lang w:val="en-US"/>
        </w:rPr>
        <w:t xml:space="preserve">) increases when the radii </w:t>
      </w:r>
      <w:r w:rsidRPr="00440E35">
        <w:rPr>
          <w:i/>
          <w:iCs/>
          <w:lang w:val="en-US"/>
        </w:rPr>
        <w:t>a</w:t>
      </w:r>
      <w:r w:rsidRPr="00765D3E">
        <w:rPr>
          <w:lang w:val="en-US"/>
        </w:rPr>
        <w:t xml:space="preserve"> of the particles increases, which induces a stronger and larger-range interaction between them. When the mean separation distance between particles (</w:t>
      </w:r>
      <w:r w:rsidRPr="00765D3E">
        <w:rPr>
          <w:i/>
          <w:lang w:val="en-US"/>
        </w:rPr>
        <w:t>r</w:t>
      </w:r>
      <w:r w:rsidRPr="00765D3E">
        <w:rPr>
          <w:i/>
          <w:vertAlign w:val="subscript"/>
          <w:lang w:val="en-US"/>
        </w:rPr>
        <w:t>m</w:t>
      </w:r>
      <w:r w:rsidRPr="00765D3E">
        <w:rPr>
          <w:lang w:val="en-US"/>
        </w:rPr>
        <w:t xml:space="preserve">), which can be calculated from the concentration by assuming a uniform distribution, is much higher than the particle’s hydrodynamic diameter, a random distribution in the particles position is expected (like an ideal gas). Otherwise, for a </w:t>
      </w:r>
      <w:r w:rsidRPr="00765D3E">
        <w:rPr>
          <w:i/>
          <w:lang w:val="en-US"/>
        </w:rPr>
        <w:t>r</w:t>
      </w:r>
      <w:r w:rsidRPr="00765D3E">
        <w:rPr>
          <w:i/>
          <w:vertAlign w:val="subscript"/>
          <w:lang w:val="en-US"/>
        </w:rPr>
        <w:t>m</w:t>
      </w:r>
      <w:r w:rsidRPr="00765D3E">
        <w:rPr>
          <w:lang w:val="en-US"/>
        </w:rPr>
        <w:t xml:space="preserve"> similar or smaller than </w:t>
      </w:r>
      <w:proofErr w:type="spellStart"/>
      <w:r w:rsidRPr="00765D3E">
        <w:rPr>
          <w:lang w:val="en-US"/>
        </w:rPr>
        <w:t>D</w:t>
      </w:r>
      <w:r w:rsidRPr="00765D3E">
        <w:rPr>
          <w:vertAlign w:val="subscript"/>
          <w:lang w:val="en-US"/>
        </w:rPr>
        <w:t>Hyd</w:t>
      </w:r>
      <w:proofErr w:type="spellEnd"/>
      <w:r w:rsidRPr="00765D3E">
        <w:rPr>
          <w:lang w:val="en-US"/>
        </w:rPr>
        <w:t>, strong particle interaction is expected, which could lead to a correlation in the particles’ position</w:t>
      </w:r>
      <w:r w:rsidRPr="00765D3E">
        <w:fldChar w:fldCharType="begin" w:fldLock="1"/>
      </w:r>
      <w:r w:rsidR="00D67FB0">
        <w:rPr>
          <w:lang w:val="en-US"/>
        </w:rPr>
        <w:instrText>ADDIN CSL_CITATION {"citationItems":[{"id":"ITEM-1","itemData":{"DOI":"10.1039/D0NR08736J","ISSN":"2040-3364","abstract":"Strongly enhanced light-matter coupling is reported in an ordered colloidal-photonic structure. Localization of light in this three-dimensional system (true Anderson localization) is demonstrated unambiguously providing compelling explanations for this striking phenomenon.","author":[{"dropping-particle":"","family":"Ermakov","given":"Viktor A.","non-dropping-particle":"","parse-names":false,"suffix":""},{"dropping-particle":"","family":"Martins","given":"Weliton S.","non-dropping-particle":"","parse-names":false,"suffix":""},{"dropping-particle":"","family":"Wetter","given":"Niklaus U.","non-dropping-particle":"","parse-names":false,"suffix":""},{"dropping-particle":"","family":"Marques","given":"Francisco C.","non-dropping-particle":"","parse-names":false,"suffix":""},{"dropping-particle":"","family":"Jiménez-Villar","given":"Ernesto","non-dropping-particle":"","parse-names":false,"suffix":""}],"container-title":"Nanoscale","id":"ITEM-1","issue":"13","issued":{"date-parts":[["2021"]]},"page":"6417-6425","title":"Localization of light induced in ordered colloidal suspensions: powerful sensing tools","type":"article-journal","volume":"13"},"uris":["http://www.mendeley.com/documents/?uuid=98207dd4-69e6-47d5-a1be-2fce5e9240f0"]}],"mendeley":{"formattedCitation":"&lt;sup&gt;3&lt;/sup&gt;","plainTextFormattedCitation":"3","previouslyFormattedCitation":"&lt;sup&gt;3&lt;/sup&gt;"},"properties":{"noteIndex":0},"schema":"https://github.com/citation-style-language/schema/raw/master/csl-citation.json"}</w:instrText>
      </w:r>
      <w:r w:rsidRPr="00765D3E">
        <w:fldChar w:fldCharType="separate"/>
      </w:r>
      <w:r w:rsidR="00D67FB0" w:rsidRPr="00D67FB0">
        <w:rPr>
          <w:noProof/>
          <w:vertAlign w:val="superscript"/>
          <w:lang w:val="en-US"/>
        </w:rPr>
        <w:t>3</w:t>
      </w:r>
      <w:r w:rsidRPr="00765D3E">
        <w:fldChar w:fldCharType="end"/>
      </w:r>
      <w:r w:rsidRPr="00765D3E">
        <w:rPr>
          <w:lang w:val="en-US"/>
        </w:rPr>
        <w:t xml:space="preserve">. The mean electric potential between two neighboring particles is given by the overlap of the repulsive and attractive potentials of the two particles. When </w:t>
      </w:r>
      <w:r w:rsidRPr="00765D3E">
        <w:sym w:font="Symbol" w:char="F06C"/>
      </w:r>
      <w:r w:rsidRPr="00765D3E">
        <w:rPr>
          <w:vertAlign w:val="subscript"/>
          <w:lang w:val="en-US"/>
        </w:rPr>
        <w:t>Debye</w:t>
      </w:r>
      <w:r w:rsidRPr="00765D3E">
        <w:rPr>
          <w:lang w:val="en-US"/>
        </w:rPr>
        <w:t xml:space="preserve"> is of the order or larger than </w:t>
      </w:r>
      <w:r w:rsidRPr="00765D3E">
        <w:rPr>
          <w:i/>
          <w:lang w:val="en-US"/>
        </w:rPr>
        <w:t>h</w:t>
      </w:r>
      <w:r w:rsidRPr="00765D3E">
        <w:rPr>
          <w:i/>
          <w:vertAlign w:val="subscript"/>
          <w:lang w:val="en-US"/>
        </w:rPr>
        <w:t>m</w:t>
      </w:r>
      <w:r w:rsidRPr="00765D3E">
        <w:rPr>
          <w:i/>
          <w:lang w:val="en-US"/>
        </w:rPr>
        <w:t>/2</w:t>
      </w:r>
      <w:r w:rsidRPr="00765D3E">
        <w:rPr>
          <w:lang w:val="en-US"/>
        </w:rPr>
        <w:t xml:space="preserve">, where </w:t>
      </w:r>
      <w:r w:rsidRPr="00765D3E">
        <w:rPr>
          <w:i/>
          <w:lang w:val="en-US"/>
        </w:rPr>
        <w:t>h</w:t>
      </w:r>
      <w:r w:rsidRPr="00765D3E">
        <w:rPr>
          <w:i/>
          <w:vertAlign w:val="subscript"/>
          <w:lang w:val="en-US"/>
        </w:rPr>
        <w:t>m</w:t>
      </w:r>
      <w:r w:rsidRPr="00765D3E">
        <w:rPr>
          <w:lang w:val="en-US"/>
        </w:rPr>
        <w:t xml:space="preserve"> is the mean distance between the opposite particle surfaces, a sharp secondary minimum of the mean potential is expected. A more uniform distribution or crystallization starts when the colloidal particles fall into this secondary minimum of depth larger than the thermal energy</w:t>
      </w:r>
      <w:r w:rsidRPr="008838A8">
        <w:rPr>
          <w:lang w:val="en-US"/>
        </w:rPr>
        <w:t>. When silica NPs is added to the TiO</w:t>
      </w:r>
      <w:r w:rsidRPr="008838A8">
        <w:rPr>
          <w:vertAlign w:val="subscript"/>
          <w:lang w:val="en-US"/>
        </w:rPr>
        <w:t>2</w:t>
      </w:r>
      <w:r w:rsidRPr="008838A8">
        <w:rPr>
          <w:lang w:val="en-US"/>
        </w:rPr>
        <w:t>@Silica NPs suspension, an increase in particle-particle Coulomb interaction is expected. Silica NPs (20 nm diameter) should be localized at the intermediate positions between TiO</w:t>
      </w:r>
      <w:r w:rsidRPr="008838A8">
        <w:rPr>
          <w:vertAlign w:val="subscript"/>
          <w:lang w:val="en-US"/>
        </w:rPr>
        <w:t>2</w:t>
      </w:r>
      <w:r w:rsidRPr="008838A8">
        <w:rPr>
          <w:lang w:val="en-US"/>
        </w:rPr>
        <w:t>@Silica NPs (scatterers), due to their higher mobility and the strong Coulomb repulsion exerted on them by the larger TiO</w:t>
      </w:r>
      <w:r w:rsidRPr="008838A8">
        <w:rPr>
          <w:vertAlign w:val="subscript"/>
          <w:lang w:val="en-US"/>
        </w:rPr>
        <w:t>2</w:t>
      </w:r>
      <w:r w:rsidRPr="008838A8">
        <w:rPr>
          <w:lang w:val="en-US"/>
        </w:rPr>
        <w:t>@Silica NPs (500 nm diameter). Consequently, due to the high dielectric constant of silica NPs, a sharper (electrical) potential minimum is expected at the intermediate region between TiO</w:t>
      </w:r>
      <w:r w:rsidRPr="008838A8">
        <w:rPr>
          <w:vertAlign w:val="subscript"/>
          <w:lang w:val="en-US"/>
        </w:rPr>
        <w:t>2</w:t>
      </w:r>
      <w:r w:rsidRPr="008838A8">
        <w:rPr>
          <w:lang w:val="en-US"/>
        </w:rPr>
        <w:t>@Silica NPs (scatterers), favoring the order or correlation in the scatterers position. In this way, silica NPs act like pivots or bridges for the Coulomb interaction between TiO</w:t>
      </w:r>
      <w:r w:rsidRPr="008838A8">
        <w:rPr>
          <w:vertAlign w:val="subscript"/>
          <w:lang w:val="en-US"/>
        </w:rPr>
        <w:t>2</w:t>
      </w:r>
      <w:r w:rsidRPr="008838A8">
        <w:rPr>
          <w:lang w:val="en-US"/>
        </w:rPr>
        <w:t>@Silica NPs.</w:t>
      </w:r>
      <w:r w:rsidRPr="00765D3E">
        <w:rPr>
          <w:lang w:val="en-US"/>
        </w:rPr>
        <w:t xml:space="preserve"> DLVO theory is not fully effective in describing ordering processes such as the formation of colloidal crystals in suspension and additional interactions should be considered, particularly in water suspensions, where hydrogen bonding and the hydrophobic effect and hydration pressure can play an important role. A detailed work on this topic has been published elsewhere</w:t>
      </w:r>
      <w:r w:rsidRPr="00765D3E">
        <w:fldChar w:fldCharType="begin" w:fldLock="1"/>
      </w:r>
      <w:r w:rsidR="00D67FB0">
        <w:rPr>
          <w:lang w:val="en-US"/>
        </w:rPr>
        <w:instrText>ADDIN CSL_CITATION {"citationItems":[{"id":"ITEM-1","itemData":{"author":[{"dropping-particle":"","family":"Ise","given":"N.","non-dropping-particle":"","parse-names":false,"suffix":""},{"dropping-particle":"","family":"Sogami","given":"I. S.","non-dropping-particle":"","parse-names":false,"suffix":""}],"id":"ITEM-1","issued":{"date-parts":[["2005"]]},"publisher":"Springer, New York","title":"Structure Formation in Solution: Ionic Polymers and Colloidal Particles","type":"book"},"uris":["http://www.mendeley.com/documents/?uuid=973302ed-9564-434a-9c06-c311ec8be2a9"]},{"id":"ITEM-2","itemData":{"DOI":"10.1016/j.jqsrt.2012.11.031","ISSN":"00224073","author":[{"dropping-particle":"","family":"Bressel","given":"L.","non-dropping-particle":"","parse-names":false,"suffix":""},{"dropping-particle":"","family":"Hass","given":"R.","non-dropping-particle":"","parse-names":false,"suffix":""},{"dropping-particle":"","family":"Reich","given":"O.","non-dropping-particle":"","parse-names":false,"suffix":""}],"container-title":"Journal of Quantitative Spectroscopy and Radiative Transfer","id":"ITEM-2","issued":{"date-parts":[["2013","9"]]},"page":"122-129","title":"Particle sizing in highly turbid dispersions by Photon Density Wave spectroscopy","type":"article-journal","volume":"126"},"uris":["http://www.mendeley.com/documents/?uuid=40366905-9b19-4ea7-9445-e210c42a9b0e"]}],"mendeley":{"formattedCitation":"&lt;sup&gt;4,5&lt;/sup&gt;","plainTextFormattedCitation":"4,5","previouslyFormattedCitation":"&lt;sup&gt;4,5&lt;/sup&gt;"},"properties":{"noteIndex":0},"schema":"https://github.com/citation-style-language/schema/raw/master/csl-citation.json"}</w:instrText>
      </w:r>
      <w:r w:rsidRPr="00765D3E">
        <w:fldChar w:fldCharType="separate"/>
      </w:r>
      <w:r w:rsidR="00D67FB0" w:rsidRPr="00D67FB0">
        <w:rPr>
          <w:noProof/>
          <w:vertAlign w:val="superscript"/>
          <w:lang w:val="en-US"/>
        </w:rPr>
        <w:t>4,5</w:t>
      </w:r>
      <w:r w:rsidRPr="00765D3E">
        <w:fldChar w:fldCharType="end"/>
      </w:r>
      <w:r w:rsidRPr="00765D3E">
        <w:rPr>
          <w:lang w:val="en-US"/>
        </w:rPr>
        <w:t>.</w:t>
      </w:r>
    </w:p>
    <w:p w:rsidR="006C621B" w:rsidRPr="00724907" w:rsidRDefault="006C621B" w:rsidP="006C621B">
      <w:pPr>
        <w:spacing w:line="480" w:lineRule="auto"/>
        <w:jc w:val="both"/>
        <w:rPr>
          <w:b/>
          <w:bCs/>
          <w:lang w:val="en-US"/>
        </w:rPr>
      </w:pPr>
      <w:r>
        <w:rPr>
          <w:b/>
          <w:bCs/>
          <w:lang w:val="en-US"/>
        </w:rPr>
        <w:t>Raman measurements</w:t>
      </w:r>
    </w:p>
    <w:p w:rsidR="006C621B" w:rsidRDefault="006C621B" w:rsidP="006C621B">
      <w:pPr>
        <w:pBdr>
          <w:top w:val="nil"/>
          <w:left w:val="nil"/>
          <w:bottom w:val="nil"/>
          <w:right w:val="nil"/>
          <w:between w:val="nil"/>
        </w:pBdr>
        <w:spacing w:line="480" w:lineRule="auto"/>
        <w:jc w:val="both"/>
        <w:rPr>
          <w:color w:val="000000"/>
          <w:lang w:val="en-US"/>
        </w:rPr>
      </w:pPr>
      <w:r w:rsidRPr="00724907">
        <w:rPr>
          <w:lang w:val="en-US"/>
        </w:rPr>
        <w:t>A Micro-Raman (</w:t>
      </w:r>
      <w:proofErr w:type="spellStart"/>
      <w:r w:rsidRPr="00724907">
        <w:rPr>
          <w:lang w:val="en-US"/>
        </w:rPr>
        <w:t>LabRAM</w:t>
      </w:r>
      <w:proofErr w:type="spellEnd"/>
      <w:r w:rsidRPr="00724907">
        <w:rPr>
          <w:lang w:val="en-US"/>
        </w:rPr>
        <w:t xml:space="preserve"> HR Evolution, Horiba Scientific) with a 532 nm CW laser as excitation source was used for Raman scattering measurements. Micro-Raman measurements were</w:t>
      </w:r>
      <w:r w:rsidRPr="00971398">
        <w:rPr>
          <w:lang w:val="en-US"/>
        </w:rPr>
        <w:t xml:space="preserve"> done using </w:t>
      </w:r>
      <w:r>
        <w:rPr>
          <w:lang w:val="en-US"/>
        </w:rPr>
        <w:t>a</w:t>
      </w:r>
      <w:r w:rsidRPr="00971398">
        <w:rPr>
          <w:lang w:val="en-US"/>
        </w:rPr>
        <w:t xml:space="preserve"> Leica </w:t>
      </w:r>
      <w:r w:rsidRPr="00971398">
        <w:rPr>
          <w:color w:val="000000" w:themeColor="text1"/>
          <w:lang w:val="en-US"/>
        </w:rPr>
        <w:t>50</w:t>
      </w:r>
      <w:r w:rsidRPr="00971398">
        <w:rPr>
          <w:color w:val="000000" w:themeColor="text1"/>
        </w:rPr>
        <w:sym w:font="Symbol" w:char="F0B4"/>
      </w:r>
      <w:r w:rsidRPr="00971398">
        <w:rPr>
          <w:lang w:val="en-US"/>
        </w:rPr>
        <w:t xml:space="preserve"> objective with numerical aperture NA=0.55</w:t>
      </w:r>
      <w:r>
        <w:rPr>
          <w:lang w:val="en-US"/>
        </w:rPr>
        <w:t xml:space="preserve">. </w:t>
      </w:r>
      <w:r w:rsidRPr="00AE78BF">
        <w:rPr>
          <w:lang w:val="en-US"/>
        </w:rPr>
        <w:t xml:space="preserve">Raman measurements were collected with three different set-ups, one without a cover slide and the other two using glass and </w:t>
      </w:r>
      <w:r>
        <w:rPr>
          <w:lang w:val="en-US"/>
        </w:rPr>
        <w:t>Sapphire</w:t>
      </w:r>
      <w:r w:rsidRPr="00AE78BF">
        <w:rPr>
          <w:lang w:val="en-US"/>
        </w:rPr>
        <w:t xml:space="preserve"> cover slides</w:t>
      </w:r>
      <w:r>
        <w:rPr>
          <w:lang w:val="en-US"/>
        </w:rPr>
        <w:t xml:space="preserve"> (see figure 1)</w:t>
      </w:r>
      <w:r w:rsidRPr="00AE78BF">
        <w:rPr>
          <w:lang w:val="en-US"/>
        </w:rPr>
        <w:t>.</w:t>
      </w:r>
      <w:r>
        <w:rPr>
          <w:lang w:val="en-US"/>
        </w:rPr>
        <w:t xml:space="preserve"> For the of glass slide, Sapphire slide and air arrangements, the</w:t>
      </w:r>
      <w:r w:rsidRPr="00971398">
        <w:rPr>
          <w:lang w:val="en-US"/>
        </w:rPr>
        <w:t xml:space="preserve"> collection depth</w:t>
      </w:r>
      <w:r>
        <w:rPr>
          <w:lang w:val="en-US"/>
        </w:rPr>
        <w:t>s</w:t>
      </w:r>
      <w:r w:rsidRPr="00971398">
        <w:rPr>
          <w:lang w:val="en-US"/>
        </w:rPr>
        <w:t xml:space="preserve"> </w:t>
      </w:r>
      <w:r>
        <w:rPr>
          <w:lang w:val="en-US"/>
        </w:rPr>
        <w:t>(</w:t>
      </w:r>
      <w:r w:rsidRPr="00971398">
        <w:rPr>
          <w:i/>
          <w:iCs/>
          <w:lang w:val="en-US"/>
        </w:rPr>
        <w:t>d</w:t>
      </w:r>
      <w:r w:rsidRPr="00971398">
        <w:rPr>
          <w:vertAlign w:val="subscript"/>
          <w:lang w:val="en-US"/>
        </w:rPr>
        <w:t>B</w:t>
      </w:r>
      <w:r>
        <w:rPr>
          <w:lang w:val="en-US"/>
        </w:rPr>
        <w:t>)</w:t>
      </w:r>
      <w:r w:rsidRPr="00971398">
        <w:rPr>
          <w:lang w:val="en-US"/>
        </w:rPr>
        <w:t xml:space="preserve"> </w:t>
      </w:r>
      <w:r>
        <w:rPr>
          <w:lang w:val="en-US"/>
        </w:rPr>
        <w:t xml:space="preserve">are </w:t>
      </w:r>
      <w:r w:rsidRPr="00971398">
        <w:rPr>
          <w:lang w:val="en-US"/>
        </w:rPr>
        <w:t xml:space="preserve">2.67 </w:t>
      </w:r>
      <w:r w:rsidRPr="00971398">
        <w:sym w:font="Symbol" w:char="F06D"/>
      </w:r>
      <w:r w:rsidRPr="004037C9">
        <w:rPr>
          <w:lang w:val="en-US"/>
        </w:rPr>
        <w:t>m</w:t>
      </w:r>
      <w:r>
        <w:rPr>
          <w:lang w:val="en-US"/>
        </w:rPr>
        <w:t xml:space="preserve">, </w:t>
      </w:r>
      <w:r w:rsidRPr="00CC1B69">
        <w:rPr>
          <w:lang w:val="en-US"/>
        </w:rPr>
        <w:t xml:space="preserve">3.13 </w:t>
      </w:r>
      <w:r w:rsidRPr="00CC1B69">
        <w:sym w:font="Symbol" w:char="F06D"/>
      </w:r>
      <w:r w:rsidRPr="00CC1B69">
        <w:rPr>
          <w:lang w:val="en-US"/>
        </w:rPr>
        <w:t xml:space="preserve">m and 1.76 </w:t>
      </w:r>
      <w:r w:rsidRPr="00CC1B69">
        <w:sym w:font="Symbol" w:char="F06D"/>
      </w:r>
      <w:r w:rsidRPr="00CC1B69">
        <w:rPr>
          <w:lang w:val="en-US"/>
        </w:rPr>
        <w:t xml:space="preserve">m, respectively. For these glass and Sapphire slide and air arrangements, the pumping spot sizes are 1.2 </w:t>
      </w:r>
      <w:r w:rsidRPr="00CC1B69">
        <w:sym w:font="Symbol" w:char="F06D"/>
      </w:r>
      <w:r w:rsidRPr="00CC1B69">
        <w:rPr>
          <w:lang w:val="en-US"/>
        </w:rPr>
        <w:t xml:space="preserve">m, 1.4 </w:t>
      </w:r>
      <w:r w:rsidRPr="00CC1B69">
        <w:sym w:font="Symbol" w:char="F06D"/>
      </w:r>
      <w:r w:rsidRPr="00CC1B69">
        <w:rPr>
          <w:lang w:val="en-US"/>
        </w:rPr>
        <w:t xml:space="preserve">m and 0.8 </w:t>
      </w:r>
      <w:r w:rsidRPr="00CC1B69">
        <w:sym w:font="Symbol" w:char="F06D"/>
      </w:r>
      <w:r w:rsidRPr="00CC1B69">
        <w:rPr>
          <w:lang w:val="en-US"/>
        </w:rPr>
        <w:t>m, respectively. The latter represents pumping power densities of 4.4x10</w:t>
      </w:r>
      <w:r w:rsidRPr="00CC1B69">
        <w:rPr>
          <w:vertAlign w:val="superscript"/>
          <w:lang w:val="en-US"/>
        </w:rPr>
        <w:t>10</w:t>
      </w:r>
      <w:r w:rsidRPr="00CC1B69">
        <w:rPr>
          <w:lang w:val="en-US"/>
        </w:rPr>
        <w:t xml:space="preserve"> W/m</w:t>
      </w:r>
      <w:r w:rsidRPr="00CC1B69">
        <w:rPr>
          <w:vertAlign w:val="superscript"/>
          <w:lang w:val="en-US"/>
        </w:rPr>
        <w:t>2</w:t>
      </w:r>
      <w:r w:rsidRPr="00CC1B69">
        <w:rPr>
          <w:lang w:val="en-US"/>
        </w:rPr>
        <w:t>, 3.2x10</w:t>
      </w:r>
      <w:r w:rsidRPr="00CC1B69">
        <w:rPr>
          <w:vertAlign w:val="superscript"/>
          <w:lang w:val="en-US"/>
        </w:rPr>
        <w:t>10</w:t>
      </w:r>
      <w:r w:rsidRPr="00CC1B69">
        <w:rPr>
          <w:lang w:val="en-US"/>
        </w:rPr>
        <w:t xml:space="preserve"> W/m</w:t>
      </w:r>
      <w:r w:rsidRPr="00CC1B69">
        <w:rPr>
          <w:vertAlign w:val="superscript"/>
          <w:lang w:val="en-US"/>
        </w:rPr>
        <w:t>2</w:t>
      </w:r>
      <w:r w:rsidRPr="00CC1B69">
        <w:rPr>
          <w:lang w:val="en-US"/>
        </w:rPr>
        <w:t xml:space="preserve"> and 10x10</w:t>
      </w:r>
      <w:r w:rsidRPr="00CC1B69">
        <w:rPr>
          <w:vertAlign w:val="superscript"/>
          <w:lang w:val="en-US"/>
        </w:rPr>
        <w:t>10</w:t>
      </w:r>
      <w:r w:rsidRPr="00CC1B69">
        <w:rPr>
          <w:lang w:val="en-US"/>
        </w:rPr>
        <w:t xml:space="preserve"> W/m</w:t>
      </w:r>
      <w:r w:rsidRPr="00CC1B69">
        <w:rPr>
          <w:vertAlign w:val="superscript"/>
          <w:lang w:val="en-US"/>
        </w:rPr>
        <w:t xml:space="preserve">2 </w:t>
      </w:r>
      <w:r w:rsidRPr="00CC1B69">
        <w:rPr>
          <w:lang w:val="en-US"/>
        </w:rPr>
        <w:t>for the glass and Sapphire slide and air arrangements, respectively. For each</w:t>
      </w:r>
      <w:r w:rsidRPr="0097723F">
        <w:rPr>
          <w:lang w:val="en-US"/>
        </w:rPr>
        <w:t xml:space="preserve"> arrangement and sample, a total of 4 spectra from different points were collected</w:t>
      </w:r>
      <w:r>
        <w:rPr>
          <w:lang w:val="en-US"/>
        </w:rPr>
        <w:t xml:space="preserve">. </w:t>
      </w:r>
      <w:r w:rsidRPr="00971398">
        <w:rPr>
          <w:lang w:val="en-US"/>
        </w:rPr>
        <w:t>The position of the focal plane of the objective relative to the sample surface was chosen such that the maximum Raman signal was obtained</w:t>
      </w:r>
      <w:r>
        <w:rPr>
          <w:lang w:val="en-US"/>
        </w:rPr>
        <w:t>.</w:t>
      </w:r>
      <w:r w:rsidRPr="00971398">
        <w:rPr>
          <w:lang w:val="en-US"/>
        </w:rPr>
        <w:t xml:space="preserve"> </w:t>
      </w:r>
      <w:r w:rsidRPr="003F66B5">
        <w:rPr>
          <w:lang w:val="en-US"/>
        </w:rPr>
        <w:t xml:space="preserve">Raman measurements were performed in samples with </w:t>
      </w:r>
      <w:r w:rsidRPr="003F66B5">
        <w:rPr>
          <w:i/>
          <w:iCs/>
          <w:lang w:val="en-US"/>
        </w:rPr>
        <w:t>FF</w:t>
      </w:r>
      <w:r w:rsidRPr="003F66B5">
        <w:rPr>
          <w:vertAlign w:val="subscript"/>
          <w:lang w:val="en-US"/>
        </w:rPr>
        <w:t xml:space="preserve">TiO2 </w:t>
      </w:r>
      <w:r w:rsidRPr="003F66B5">
        <w:rPr>
          <w:lang w:val="en-US"/>
        </w:rPr>
        <w:t>of: 0.26%, 0.54%, 1.35%, 4.8%, 8.8% and 12.1%</w:t>
      </w:r>
      <w:r w:rsidRPr="003F66B5">
        <w:rPr>
          <w:color w:val="000000"/>
          <w:lang w:val="en-US"/>
        </w:rPr>
        <w:t xml:space="preserve"> with both 0.75% and 1.5% </w:t>
      </w:r>
      <w:r w:rsidRPr="003F66B5">
        <w:rPr>
          <w:i/>
          <w:iCs/>
          <w:color w:val="000000"/>
          <w:lang w:val="en-US"/>
        </w:rPr>
        <w:t>FF</w:t>
      </w:r>
      <w:r w:rsidRPr="003F66B5">
        <w:rPr>
          <w:color w:val="000000"/>
          <w:vertAlign w:val="subscript"/>
          <w:lang w:val="en-US"/>
        </w:rPr>
        <w:t>SiO2</w:t>
      </w:r>
      <w:r w:rsidRPr="003F66B5">
        <w:rPr>
          <w:lang w:val="en-US"/>
        </w:rPr>
        <w:t xml:space="preserve">. </w:t>
      </w:r>
      <w:r w:rsidRPr="003F66B5">
        <w:rPr>
          <w:color w:val="000000"/>
          <w:lang w:val="en-US"/>
        </w:rPr>
        <w:t>The</w:t>
      </w:r>
      <w:r w:rsidRPr="00971398">
        <w:rPr>
          <w:color w:val="000000"/>
          <w:lang w:val="en-US"/>
        </w:rPr>
        <w:t xml:space="preserve"> samples are stirred before each measurement and the Raman collection is performed during a time shorter than 1 minute. After </w:t>
      </w:r>
      <w:r>
        <w:rPr>
          <w:color w:val="000000"/>
          <w:lang w:val="en-US"/>
        </w:rPr>
        <w:t>several</w:t>
      </w:r>
      <w:r w:rsidRPr="00971398">
        <w:rPr>
          <w:color w:val="000000"/>
          <w:lang w:val="en-US"/>
        </w:rPr>
        <w:t xml:space="preserve"> minutes the Raman signal starts to decrease slowly, which could be a consequence of an effective </w:t>
      </w:r>
      <w:r w:rsidRPr="00971398">
        <w:rPr>
          <w:i/>
          <w:iCs/>
          <w:color w:val="000000"/>
          <w:lang w:val="en-US"/>
        </w:rPr>
        <w:t>FF</w:t>
      </w:r>
      <w:r w:rsidRPr="00971398">
        <w:rPr>
          <w:color w:val="000000"/>
          <w:vertAlign w:val="subscript"/>
          <w:lang w:val="en-US"/>
        </w:rPr>
        <w:t xml:space="preserve">TiO2 </w:t>
      </w:r>
      <w:r w:rsidRPr="00971398">
        <w:rPr>
          <w:color w:val="000000"/>
          <w:lang w:val="en-US"/>
        </w:rPr>
        <w:t xml:space="preserve">decrease close </w:t>
      </w:r>
      <w:r>
        <w:rPr>
          <w:color w:val="000000"/>
          <w:lang w:val="en-US"/>
        </w:rPr>
        <w:t xml:space="preserve">to </w:t>
      </w:r>
      <w:r w:rsidRPr="00971398">
        <w:rPr>
          <w:color w:val="000000"/>
          <w:lang w:val="en-US"/>
        </w:rPr>
        <w:t>the sample-cover slip interface, probably due to the gravity effect.</w:t>
      </w:r>
    </w:p>
    <w:p w:rsidR="006C621B" w:rsidRDefault="006C621B" w:rsidP="006C621B">
      <w:pPr>
        <w:spacing w:line="480" w:lineRule="auto"/>
        <w:jc w:val="both"/>
        <w:rPr>
          <w:lang w:val="en-US"/>
        </w:rPr>
      </w:pPr>
      <w:r w:rsidRPr="00CC1B69">
        <w:rPr>
          <w:lang w:val="en-US"/>
        </w:rPr>
        <w:t>Figure S1 shows the collected Raman spectra of the TiO</w:t>
      </w:r>
      <w:r w:rsidRPr="00CC1B69">
        <w:rPr>
          <w:vertAlign w:val="subscript"/>
          <w:lang w:val="en-US"/>
        </w:rPr>
        <w:t>2</w:t>
      </w:r>
      <w:r w:rsidRPr="00CC1B69">
        <w:rPr>
          <w:lang w:val="en-US"/>
        </w:rPr>
        <w:t xml:space="preserve">@Silica suspension plus silica NPs at </w:t>
      </w:r>
      <w:r w:rsidRPr="00CC1B69">
        <w:rPr>
          <w:i/>
          <w:iCs/>
          <w:lang w:val="en-US"/>
        </w:rPr>
        <w:t>FF</w:t>
      </w:r>
      <w:r w:rsidRPr="00CC1B69">
        <w:rPr>
          <w:vertAlign w:val="subscript"/>
          <w:lang w:val="en-US"/>
        </w:rPr>
        <w:t>TiO2</w:t>
      </w:r>
      <w:r w:rsidRPr="00CC1B69">
        <w:rPr>
          <w:lang w:val="en-US"/>
        </w:rPr>
        <w:t xml:space="preserve">=4.8% and </w:t>
      </w:r>
      <w:r w:rsidRPr="00CC1B69">
        <w:rPr>
          <w:i/>
          <w:iCs/>
          <w:lang w:val="en-US"/>
        </w:rPr>
        <w:t>FF</w:t>
      </w:r>
      <w:r w:rsidRPr="00CC1B69">
        <w:rPr>
          <w:vertAlign w:val="subscript"/>
          <w:lang w:val="en-US"/>
        </w:rPr>
        <w:t>SiO2</w:t>
      </w:r>
      <w:r w:rsidRPr="00CC1B69">
        <w:rPr>
          <w:lang w:val="en-US"/>
        </w:rPr>
        <w:t>=0.75%, using the three set-ups shown in figure 1.</w:t>
      </w:r>
    </w:p>
    <w:p w:rsidR="006C621B" w:rsidRDefault="006C621B" w:rsidP="006C621B">
      <w:pPr>
        <w:keepNext/>
        <w:jc w:val="center"/>
      </w:pPr>
      <w:r>
        <w:rPr>
          <w:noProof/>
          <w:lang w:val="en-US" w:eastAsia="en-US"/>
        </w:rPr>
        <w:drawing>
          <wp:inline distT="0" distB="0" distL="0" distR="0" wp14:anchorId="68B6E317" wp14:editId="4B32C6F1">
            <wp:extent cx="3176100" cy="2000010"/>
            <wp:effectExtent l="0" t="0" r="0" b="0"/>
            <wp:docPr id="114110333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1103335" name="Imagen 1141103335"/>
                    <pic:cNvPicPr/>
                  </pic:nvPicPr>
                  <pic:blipFill>
                    <a:blip r:embed="rId7" cstate="print">
                      <a:extLst>
                        <a:ext uri="{28A0092B-C50C-407E-A947-70E740481C1C}">
                          <a14:useLocalDpi xmlns:a14="http://schemas.microsoft.com/office/drawing/2010/main" val="0"/>
                        </a:ext>
                      </a:extLst>
                    </a:blip>
                    <a:stretch>
                      <a:fillRect/>
                    </a:stretch>
                  </pic:blipFill>
                  <pic:spPr>
                    <a:xfrm>
                      <a:off x="0" y="0"/>
                      <a:ext cx="3261272" cy="2053644"/>
                    </a:xfrm>
                    <a:prstGeom prst="rect">
                      <a:avLst/>
                    </a:prstGeom>
                  </pic:spPr>
                </pic:pic>
              </a:graphicData>
            </a:graphic>
          </wp:inline>
        </w:drawing>
      </w:r>
    </w:p>
    <w:p w:rsidR="006C621B" w:rsidRPr="006C621B" w:rsidRDefault="006C621B" w:rsidP="006C621B">
      <w:pPr>
        <w:pStyle w:val="Descripcin"/>
        <w:jc w:val="both"/>
        <w:rPr>
          <w:rFonts w:ascii="Times New Roman" w:hAnsi="Times New Roman" w:cs="Times New Roman"/>
          <w:color w:val="auto"/>
          <w:sz w:val="20"/>
          <w:szCs w:val="20"/>
        </w:rPr>
      </w:pPr>
      <w:r w:rsidRPr="005F7F84">
        <w:rPr>
          <w:rFonts w:ascii="Times New Roman" w:hAnsi="Times New Roman" w:cs="Times New Roman"/>
          <w:color w:val="auto"/>
          <w:sz w:val="20"/>
          <w:szCs w:val="20"/>
        </w:rPr>
        <w:t xml:space="preserve">Figure S </w:t>
      </w:r>
      <w:r w:rsidRPr="005F7F84">
        <w:rPr>
          <w:rFonts w:ascii="Times New Roman" w:hAnsi="Times New Roman" w:cs="Times New Roman"/>
          <w:color w:val="auto"/>
          <w:sz w:val="20"/>
          <w:szCs w:val="20"/>
        </w:rPr>
        <w:fldChar w:fldCharType="begin"/>
      </w:r>
      <w:r w:rsidRPr="005F7F84">
        <w:rPr>
          <w:rFonts w:ascii="Times New Roman" w:hAnsi="Times New Roman" w:cs="Times New Roman"/>
          <w:color w:val="auto"/>
          <w:sz w:val="20"/>
          <w:szCs w:val="20"/>
        </w:rPr>
        <w:instrText xml:space="preserve"> SEQ Figure_S \* ARABIC </w:instrText>
      </w:r>
      <w:r w:rsidRPr="005F7F84">
        <w:rPr>
          <w:rFonts w:ascii="Times New Roman" w:hAnsi="Times New Roman" w:cs="Times New Roman"/>
          <w:color w:val="auto"/>
          <w:sz w:val="20"/>
          <w:szCs w:val="20"/>
        </w:rPr>
        <w:fldChar w:fldCharType="separate"/>
      </w:r>
      <w:r w:rsidRPr="005F7F84">
        <w:rPr>
          <w:rFonts w:ascii="Times New Roman" w:hAnsi="Times New Roman" w:cs="Times New Roman"/>
          <w:noProof/>
          <w:color w:val="auto"/>
          <w:sz w:val="20"/>
          <w:szCs w:val="20"/>
        </w:rPr>
        <w:t>1</w:t>
      </w:r>
      <w:r w:rsidRPr="005F7F84">
        <w:rPr>
          <w:rFonts w:ascii="Times New Roman" w:hAnsi="Times New Roman" w:cs="Times New Roman"/>
          <w:color w:val="auto"/>
          <w:sz w:val="20"/>
          <w:szCs w:val="20"/>
        </w:rPr>
        <w:fldChar w:fldCharType="end"/>
      </w:r>
      <w:r w:rsidRPr="005F7F84">
        <w:rPr>
          <w:rFonts w:ascii="Times New Roman" w:hAnsi="Times New Roman" w:cs="Times New Roman"/>
          <w:color w:val="auto"/>
          <w:sz w:val="20"/>
          <w:szCs w:val="20"/>
        </w:rPr>
        <w:t xml:space="preserve">. </w:t>
      </w:r>
      <w:r w:rsidRPr="005F7F84">
        <w:rPr>
          <w:rFonts w:ascii="Times New Roman" w:hAnsi="Times New Roman" w:cs="Times New Roman"/>
          <w:b w:val="0"/>
          <w:bCs w:val="0"/>
          <w:i/>
          <w:iCs/>
          <w:color w:val="auto"/>
          <w:sz w:val="20"/>
          <w:szCs w:val="20"/>
        </w:rPr>
        <w:t>For FF</w:t>
      </w:r>
      <w:r w:rsidRPr="005F7F84">
        <w:rPr>
          <w:rFonts w:ascii="Times New Roman" w:hAnsi="Times New Roman" w:cs="Times New Roman"/>
          <w:b w:val="0"/>
          <w:bCs w:val="0"/>
          <w:color w:val="auto"/>
          <w:sz w:val="20"/>
          <w:szCs w:val="20"/>
          <w:vertAlign w:val="subscript"/>
        </w:rPr>
        <w:t>TiO2</w:t>
      </w:r>
      <w:r w:rsidRPr="005F7F84">
        <w:rPr>
          <w:rFonts w:ascii="Times New Roman" w:hAnsi="Times New Roman" w:cs="Times New Roman"/>
          <w:b w:val="0"/>
          <w:bCs w:val="0"/>
          <w:color w:val="auto"/>
          <w:sz w:val="20"/>
          <w:szCs w:val="20"/>
        </w:rPr>
        <w:t xml:space="preserve">=4.8% and </w:t>
      </w:r>
      <w:r w:rsidRPr="005F7F84">
        <w:rPr>
          <w:rFonts w:ascii="Times New Roman" w:hAnsi="Times New Roman" w:cs="Times New Roman"/>
          <w:b w:val="0"/>
          <w:bCs w:val="0"/>
          <w:i/>
          <w:iCs/>
          <w:color w:val="auto"/>
          <w:sz w:val="20"/>
          <w:szCs w:val="20"/>
        </w:rPr>
        <w:t>FF</w:t>
      </w:r>
      <w:r w:rsidRPr="005F7F84">
        <w:rPr>
          <w:rFonts w:ascii="Times New Roman" w:hAnsi="Times New Roman" w:cs="Times New Roman"/>
          <w:b w:val="0"/>
          <w:bCs w:val="0"/>
          <w:color w:val="auto"/>
          <w:sz w:val="20"/>
          <w:szCs w:val="20"/>
          <w:vertAlign w:val="subscript"/>
        </w:rPr>
        <w:t>SiO2</w:t>
      </w:r>
      <w:r w:rsidRPr="005F7F84">
        <w:rPr>
          <w:rFonts w:ascii="Times New Roman" w:hAnsi="Times New Roman" w:cs="Times New Roman"/>
          <w:b w:val="0"/>
          <w:bCs w:val="0"/>
          <w:color w:val="auto"/>
          <w:sz w:val="20"/>
          <w:szCs w:val="20"/>
        </w:rPr>
        <w:t>=0.75%</w:t>
      </w:r>
      <w:r w:rsidRPr="005F7F84">
        <w:rPr>
          <w:rFonts w:ascii="Times New Roman" w:hAnsi="Times New Roman" w:cs="Times New Roman"/>
          <w:b w:val="0"/>
          <w:bCs w:val="0"/>
          <w:i/>
          <w:iCs/>
          <w:color w:val="auto"/>
          <w:sz w:val="20"/>
          <w:szCs w:val="20"/>
        </w:rPr>
        <w:t xml:space="preserve"> (TiO</w:t>
      </w:r>
      <w:r w:rsidRPr="005F7F84">
        <w:rPr>
          <w:rFonts w:ascii="Times New Roman" w:hAnsi="Times New Roman" w:cs="Times New Roman"/>
          <w:b w:val="0"/>
          <w:bCs w:val="0"/>
          <w:i/>
          <w:iCs/>
          <w:color w:val="auto"/>
          <w:sz w:val="20"/>
          <w:szCs w:val="20"/>
          <w:vertAlign w:val="subscript"/>
        </w:rPr>
        <w:t>2</w:t>
      </w:r>
      <w:r w:rsidRPr="005F7F84">
        <w:rPr>
          <w:rFonts w:ascii="Times New Roman" w:hAnsi="Times New Roman" w:cs="Times New Roman"/>
          <w:b w:val="0"/>
          <w:bCs w:val="0"/>
          <w:i/>
          <w:iCs/>
          <w:color w:val="auto"/>
          <w:sz w:val="20"/>
          <w:szCs w:val="20"/>
        </w:rPr>
        <w:t>@Silica suspension plus silica NPs), Raman spectra collected with the three arrangements (figure 1) show a higher Raman signal without using a cover slide (air). Raman spectra collected using: a sapphire slide (Black line); a glass slide (blue line) and without a cover slide, air (red line).</w:t>
      </w:r>
    </w:p>
    <w:p w:rsidR="006C621B" w:rsidRPr="00724907" w:rsidRDefault="006C621B" w:rsidP="006C621B">
      <w:pPr>
        <w:spacing w:line="480" w:lineRule="auto"/>
        <w:jc w:val="both"/>
        <w:rPr>
          <w:b/>
          <w:bCs/>
          <w:lang w:val="en-US"/>
        </w:rPr>
      </w:pPr>
      <w:r>
        <w:rPr>
          <w:b/>
          <w:bCs/>
          <w:lang w:val="en-US"/>
        </w:rPr>
        <w:t>C</w:t>
      </w:r>
      <w:r w:rsidRPr="00724907">
        <w:rPr>
          <w:b/>
          <w:bCs/>
          <w:lang w:val="en-US"/>
        </w:rPr>
        <w:t xml:space="preserve">orrection by pumping and collection depth </w:t>
      </w:r>
    </w:p>
    <w:p w:rsidR="006C621B" w:rsidRPr="005976CB" w:rsidRDefault="006C621B" w:rsidP="006C621B">
      <w:pPr>
        <w:spacing w:line="480" w:lineRule="auto"/>
        <w:jc w:val="both"/>
        <w:rPr>
          <w:lang w:val="en-US"/>
        </w:rPr>
      </w:pPr>
      <w:r w:rsidRPr="00244779">
        <w:rPr>
          <w:lang w:val="en-US"/>
        </w:rPr>
        <w:t>The effective pumping intensity (</w:t>
      </w:r>
      <w:r w:rsidRPr="00244779">
        <w:rPr>
          <w:i/>
          <w:iCs/>
          <w:lang w:val="en-US"/>
        </w:rPr>
        <w:t>I</w:t>
      </w:r>
      <w:r w:rsidRPr="00244779">
        <w:rPr>
          <w:vertAlign w:val="subscript"/>
          <w:lang w:val="en-US"/>
        </w:rPr>
        <w:t>PM</w:t>
      </w:r>
      <w:r w:rsidRPr="00244779">
        <w:rPr>
          <w:lang w:val="en-US"/>
        </w:rPr>
        <w:t xml:space="preserve">) and collected Raman signal are both affected by the scattering strength (scattering length, </w:t>
      </w:r>
      <w:r w:rsidRPr="00244779">
        <w:rPr>
          <w:i/>
          <w:iCs/>
          <w:lang w:val="en-US"/>
        </w:rPr>
        <w:t>l</w:t>
      </w:r>
      <w:r w:rsidRPr="00244779">
        <w:rPr>
          <w:vertAlign w:val="subscript"/>
          <w:lang w:val="en-US"/>
        </w:rPr>
        <w:t>s</w:t>
      </w:r>
      <w:r w:rsidRPr="00244779">
        <w:rPr>
          <w:lang w:val="en-US"/>
        </w:rPr>
        <w:t xml:space="preserve">) of each sample, which depends on the </w:t>
      </w:r>
      <w:r w:rsidRPr="00244779">
        <w:rPr>
          <w:i/>
          <w:iCs/>
          <w:lang w:val="en-US"/>
        </w:rPr>
        <w:t>FF</w:t>
      </w:r>
      <w:r w:rsidRPr="00244779">
        <w:rPr>
          <w:vertAlign w:val="subscript"/>
          <w:lang w:val="en-US"/>
        </w:rPr>
        <w:t>TiO2</w:t>
      </w:r>
      <w:r w:rsidRPr="00244779">
        <w:rPr>
          <w:lang w:val="en-US"/>
        </w:rPr>
        <w:t xml:space="preserve">. For correcting the effective pumping intensity by the pumping depth (depth of focus or depth of pumping, </w:t>
      </w:r>
      <w:r w:rsidRPr="00244779">
        <w:rPr>
          <w:i/>
          <w:iCs/>
          <w:lang w:val="en-US"/>
        </w:rPr>
        <w:t>d</w:t>
      </w:r>
      <w:r w:rsidRPr="00244779">
        <w:rPr>
          <w:vertAlign w:val="subscript"/>
          <w:lang w:val="en-US"/>
        </w:rPr>
        <w:t>B</w:t>
      </w:r>
      <w:r w:rsidRPr="00244779">
        <w:rPr>
          <w:lang w:val="en-US"/>
        </w:rPr>
        <w:t xml:space="preserve">), we have taken into account the scattering lengths </w:t>
      </w:r>
      <w:r w:rsidRPr="00244779">
        <w:rPr>
          <w:i/>
          <w:lang w:val="en-US"/>
        </w:rPr>
        <w:t>l</w:t>
      </w:r>
      <w:r w:rsidRPr="00244779">
        <w:rPr>
          <w:vertAlign w:val="subscript"/>
          <w:lang w:val="en-US"/>
        </w:rPr>
        <w:t>s</w:t>
      </w:r>
      <w:r w:rsidRPr="00244779">
        <w:rPr>
          <w:lang w:val="en-US"/>
        </w:rPr>
        <w:t xml:space="preserve"> for each sample. </w:t>
      </w:r>
      <w:r w:rsidRPr="005976CB">
        <w:rPr>
          <w:lang w:val="en-US"/>
        </w:rPr>
        <w:t>We considered that the mean pumping intensity (</w:t>
      </w:r>
      <w:proofErr w:type="gramStart"/>
      <w:r w:rsidRPr="005976CB">
        <w:rPr>
          <w:i/>
          <w:lang w:val="en-US"/>
        </w:rPr>
        <w:t>I</w:t>
      </w:r>
      <w:r w:rsidRPr="005976CB">
        <w:rPr>
          <w:vertAlign w:val="subscript"/>
          <w:lang w:val="en-US"/>
        </w:rPr>
        <w:t>PM(</w:t>
      </w:r>
      <w:proofErr w:type="gramEnd"/>
      <w:r w:rsidRPr="005976CB">
        <w:rPr>
          <w:vertAlign w:val="subscript"/>
        </w:rPr>
        <w:sym w:font="Symbol" w:char="F06C"/>
      </w:r>
      <w:r w:rsidRPr="005976CB">
        <w:rPr>
          <w:vertAlign w:val="subscript"/>
          <w:lang w:val="en-US"/>
        </w:rPr>
        <w:t>)</w:t>
      </w:r>
      <w:r w:rsidRPr="005976CB">
        <w:rPr>
          <w:lang w:val="en-US"/>
        </w:rPr>
        <w:t>) at depth of focus (</w:t>
      </w:r>
      <w:r w:rsidRPr="005976CB">
        <w:rPr>
          <w:i/>
          <w:iCs/>
          <w:lang w:val="en-US"/>
        </w:rPr>
        <w:t>d</w:t>
      </w:r>
      <w:r w:rsidRPr="005976CB">
        <w:rPr>
          <w:vertAlign w:val="subscript"/>
          <w:lang w:val="en-US"/>
        </w:rPr>
        <w:t>B(</w:t>
      </w:r>
      <w:r w:rsidRPr="005976CB">
        <w:rPr>
          <w:vertAlign w:val="subscript"/>
        </w:rPr>
        <w:sym w:font="Symbol" w:char="F06C"/>
      </w:r>
      <w:r w:rsidRPr="005976CB">
        <w:rPr>
          <w:vertAlign w:val="subscript"/>
          <w:lang w:val="en-US"/>
        </w:rPr>
        <w:t>)</w:t>
      </w:r>
      <w:r w:rsidRPr="005976CB">
        <w:rPr>
          <w:lang w:val="en-US"/>
        </w:rPr>
        <w:t xml:space="preserve">) into the sample depends on </w:t>
      </w:r>
      <w:r w:rsidRPr="005976CB">
        <w:rPr>
          <w:i/>
          <w:lang w:val="en-US"/>
        </w:rPr>
        <w:t>l</w:t>
      </w:r>
      <w:r w:rsidRPr="005976CB">
        <w:rPr>
          <w:vertAlign w:val="subscript"/>
          <w:lang w:val="en-US"/>
        </w:rPr>
        <w:t>s(</w:t>
      </w:r>
      <w:r w:rsidRPr="005976CB">
        <w:rPr>
          <w:vertAlign w:val="subscript"/>
        </w:rPr>
        <w:sym w:font="Symbol" w:char="F06C"/>
      </w:r>
      <w:r w:rsidRPr="005976CB">
        <w:rPr>
          <w:vertAlign w:val="subscript"/>
          <w:lang w:val="en-US"/>
        </w:rPr>
        <w:t xml:space="preserve">) </w:t>
      </w:r>
      <w:r w:rsidRPr="005976CB">
        <w:rPr>
          <w:lang w:val="en-US"/>
        </w:rPr>
        <w:t>as follows:</w:t>
      </w:r>
    </w:p>
    <w:p w:rsidR="006C621B" w:rsidRPr="005976CB" w:rsidRDefault="00000000" w:rsidP="00811432">
      <w:pPr>
        <w:jc w:val="right"/>
        <w:rPr>
          <w:lang w:val="pt-BR"/>
        </w:rPr>
      </w:pPr>
      <m:oMath>
        <m:sSub>
          <m:sSubPr>
            <m:ctrlPr>
              <w:rPr>
                <w:rFonts w:ascii="Cambria Math" w:eastAsia="Cambria Math" w:hAnsi="Cambria Math"/>
              </w:rPr>
            </m:ctrlPr>
          </m:sSubPr>
          <m:e>
            <m:r>
              <w:rPr>
                <w:rFonts w:ascii="Cambria Math" w:eastAsia="Cambria Math" w:hAnsi="Cambria Math"/>
              </w:rPr>
              <m:t>I</m:t>
            </m:r>
          </m:e>
          <m:sub>
            <m:r>
              <w:rPr>
                <w:rFonts w:ascii="Cambria Math" w:eastAsia="Cambria Math" w:hAnsi="Cambria Math"/>
              </w:rPr>
              <m:t>PM</m:t>
            </m:r>
          </m:sub>
        </m:sSub>
        <m:r>
          <w:rPr>
            <w:rFonts w:ascii="Cambria Math" w:eastAsia="Cambria Math" w:hAnsi="Cambria Math"/>
            <w:lang w:val="pt-BR"/>
          </w:rPr>
          <m:t>=</m:t>
        </m:r>
        <m:f>
          <m:fPr>
            <m:ctrlPr>
              <w:rPr>
                <w:rFonts w:ascii="Cambria Math" w:eastAsia="Cambria Math" w:hAnsi="Cambria Math"/>
              </w:rPr>
            </m:ctrlPr>
          </m:fPr>
          <m:num>
            <m:nary>
              <m:naryPr>
                <m:ctrlPr>
                  <w:rPr>
                    <w:rFonts w:ascii="Cambria Math" w:eastAsia="Cambria Math" w:hAnsi="Cambria Math"/>
                  </w:rPr>
                </m:ctrlPr>
              </m:naryPr>
              <m:sub>
                <m:r>
                  <w:rPr>
                    <w:rFonts w:ascii="Cambria Math" w:eastAsia="Cambria Math" w:hAnsi="Cambria Math"/>
                    <w:lang w:val="pt-BR"/>
                  </w:rPr>
                  <m:t>0</m:t>
                </m:r>
              </m:sub>
              <m:sup>
                <m:sSub>
                  <m:sSubPr>
                    <m:ctrlPr>
                      <w:rPr>
                        <w:rFonts w:ascii="Cambria Math" w:eastAsia="Cambria Math" w:hAnsi="Cambria Math"/>
                        <w:i/>
                      </w:rPr>
                    </m:ctrlPr>
                  </m:sSubPr>
                  <m:e>
                    <m:r>
                      <w:rPr>
                        <w:rFonts w:ascii="Cambria Math" w:eastAsia="Cambria Math" w:hAnsi="Cambria Math"/>
                      </w:rPr>
                      <m:t>d</m:t>
                    </m:r>
                  </m:e>
                  <m:sub>
                    <m:r>
                      <w:rPr>
                        <w:rFonts w:ascii="Cambria Math" w:eastAsia="Cambria Math" w:hAnsi="Cambria Math"/>
                      </w:rPr>
                      <m:t>B</m:t>
                    </m:r>
                    <m:r>
                      <w:rPr>
                        <w:rFonts w:ascii="Cambria Math" w:eastAsia="Cambria Math" w:hAnsi="Cambria Math"/>
                        <w:lang w:val="pt-BR"/>
                      </w:rPr>
                      <m:t>(</m:t>
                    </m:r>
                    <m:r>
                      <w:rPr>
                        <w:rFonts w:ascii="Cambria Math" w:eastAsia="Cambria Math" w:hAnsi="Cambria Math"/>
                      </w:rPr>
                      <m:t>λ</m:t>
                    </m:r>
                    <m:r>
                      <w:rPr>
                        <w:rFonts w:ascii="Cambria Math" w:eastAsia="Cambria Math" w:hAnsi="Cambria Math"/>
                        <w:lang w:val="pt-BR"/>
                      </w:rPr>
                      <m:t>)</m:t>
                    </m:r>
                  </m:sub>
                </m:sSub>
              </m:sup>
              <m:e>
                <m:sSub>
                  <m:sSubPr>
                    <m:ctrlPr>
                      <w:rPr>
                        <w:rFonts w:ascii="Cambria Math" w:eastAsia="Cambria Math" w:hAnsi="Cambria Math"/>
                      </w:rPr>
                    </m:ctrlPr>
                  </m:sSubPr>
                  <m:e>
                    <m:r>
                      <w:rPr>
                        <w:rFonts w:ascii="Cambria Math" w:eastAsia="Cambria Math" w:hAnsi="Cambria Math"/>
                      </w:rPr>
                      <m:t>I</m:t>
                    </m:r>
                  </m:e>
                  <m:sub>
                    <m:r>
                      <w:rPr>
                        <w:rFonts w:ascii="Cambria Math" w:eastAsia="Cambria Math" w:hAnsi="Cambria Math"/>
                      </w:rPr>
                      <m:t>P</m:t>
                    </m:r>
                  </m:sub>
                </m:sSub>
                <m:d>
                  <m:dPr>
                    <m:ctrlPr>
                      <w:rPr>
                        <w:rFonts w:ascii="Cambria Math" w:eastAsia="Cambria Math" w:hAnsi="Cambria Math"/>
                      </w:rPr>
                    </m:ctrlPr>
                  </m:dPr>
                  <m:e>
                    <m:r>
                      <w:rPr>
                        <w:rFonts w:ascii="Cambria Math" w:eastAsia="Cambria Math" w:hAnsi="Cambria Math"/>
                      </w:rPr>
                      <m:t>z</m:t>
                    </m:r>
                  </m:e>
                </m:d>
              </m:e>
            </m:nary>
            <m:r>
              <w:rPr>
                <w:rFonts w:ascii="Cambria Math" w:eastAsia="Cambria Math" w:hAnsi="Cambria Math"/>
                <w:lang w:val="pt-BR"/>
              </w:rPr>
              <m:t xml:space="preserve"> </m:t>
            </m:r>
            <m:r>
              <w:rPr>
                <w:rFonts w:ascii="Cambria Math" w:eastAsia="Cambria Math" w:hAnsi="Cambria Math"/>
              </w:rPr>
              <m:t>dz</m:t>
            </m:r>
          </m:num>
          <m:den>
            <m:sSub>
              <m:sSubPr>
                <m:ctrlPr>
                  <w:rPr>
                    <w:rFonts w:ascii="Cambria Math" w:eastAsia="Cambria Math" w:hAnsi="Cambria Math"/>
                    <w:i/>
                  </w:rPr>
                </m:ctrlPr>
              </m:sSubPr>
              <m:e>
                <m:r>
                  <w:rPr>
                    <w:rFonts w:ascii="Cambria Math" w:eastAsia="Cambria Math" w:hAnsi="Cambria Math"/>
                  </w:rPr>
                  <m:t>d</m:t>
                </m:r>
              </m:e>
              <m:sub>
                <m:r>
                  <w:rPr>
                    <w:rFonts w:ascii="Cambria Math" w:eastAsia="Cambria Math" w:hAnsi="Cambria Math"/>
                  </w:rPr>
                  <m:t>B</m:t>
                </m:r>
                <m:r>
                  <w:rPr>
                    <w:rFonts w:ascii="Cambria Math" w:eastAsia="Cambria Math" w:hAnsi="Cambria Math"/>
                    <w:lang w:val="pt-BR"/>
                  </w:rPr>
                  <m:t>(</m:t>
                </m:r>
                <m:r>
                  <w:rPr>
                    <w:rFonts w:ascii="Cambria Math" w:eastAsia="Cambria Math" w:hAnsi="Cambria Math"/>
                  </w:rPr>
                  <m:t>λ</m:t>
                </m:r>
                <m:r>
                  <w:rPr>
                    <w:rFonts w:ascii="Cambria Math" w:eastAsia="Cambria Math" w:hAnsi="Cambria Math"/>
                    <w:lang w:val="pt-BR"/>
                  </w:rPr>
                  <m:t>)</m:t>
                </m:r>
              </m:sub>
            </m:sSub>
          </m:den>
        </m:f>
        <m:r>
          <w:rPr>
            <w:rFonts w:ascii="Cambria Math" w:eastAsia="Cambria Math" w:hAnsi="Cambria Math"/>
            <w:lang w:val="pt-BR"/>
          </w:rPr>
          <m:t>=</m:t>
        </m:r>
        <m:f>
          <m:fPr>
            <m:ctrlPr>
              <w:rPr>
                <w:rFonts w:ascii="Cambria Math" w:eastAsia="Cambria Math" w:hAnsi="Cambria Math"/>
              </w:rPr>
            </m:ctrlPr>
          </m:fPr>
          <m:num>
            <m:sSub>
              <m:sSubPr>
                <m:ctrlPr>
                  <w:rPr>
                    <w:rFonts w:ascii="Cambria Math" w:eastAsia="Cambria Math" w:hAnsi="Cambria Math"/>
                  </w:rPr>
                </m:ctrlPr>
              </m:sSubPr>
              <m:e>
                <m:r>
                  <w:rPr>
                    <w:rFonts w:ascii="Cambria Math" w:eastAsia="Cambria Math" w:hAnsi="Cambria Math"/>
                  </w:rPr>
                  <m:t>I</m:t>
                </m:r>
              </m:e>
              <m:sub>
                <m:r>
                  <w:rPr>
                    <w:rFonts w:ascii="Cambria Math" w:eastAsia="Cambria Math" w:hAnsi="Cambria Math"/>
                    <w:lang w:val="pt-BR"/>
                  </w:rPr>
                  <m:t>0</m:t>
                </m:r>
              </m:sub>
            </m:sSub>
          </m:num>
          <m:den>
            <m:sSub>
              <m:sSubPr>
                <m:ctrlPr>
                  <w:rPr>
                    <w:rFonts w:ascii="Cambria Math" w:eastAsia="Cambria Math" w:hAnsi="Cambria Math"/>
                    <w:i/>
                  </w:rPr>
                </m:ctrlPr>
              </m:sSubPr>
              <m:e>
                <m:r>
                  <w:rPr>
                    <w:rFonts w:ascii="Cambria Math" w:eastAsia="Cambria Math" w:hAnsi="Cambria Math"/>
                  </w:rPr>
                  <m:t>d</m:t>
                </m:r>
              </m:e>
              <m:sub>
                <m:r>
                  <w:rPr>
                    <w:rFonts w:ascii="Cambria Math" w:eastAsia="Cambria Math" w:hAnsi="Cambria Math"/>
                  </w:rPr>
                  <m:t>B</m:t>
                </m:r>
                <m:r>
                  <w:rPr>
                    <w:rFonts w:ascii="Cambria Math" w:eastAsia="Cambria Math" w:hAnsi="Cambria Math"/>
                    <w:lang w:val="pt-BR"/>
                  </w:rPr>
                  <m:t>(</m:t>
                </m:r>
                <m:r>
                  <w:rPr>
                    <w:rFonts w:ascii="Cambria Math" w:eastAsia="Cambria Math" w:hAnsi="Cambria Math"/>
                  </w:rPr>
                  <m:t>λ</m:t>
                </m:r>
                <m:r>
                  <w:rPr>
                    <w:rFonts w:ascii="Cambria Math" w:eastAsia="Cambria Math" w:hAnsi="Cambria Math"/>
                    <w:lang w:val="pt-BR"/>
                  </w:rPr>
                  <m:t>)</m:t>
                </m:r>
              </m:sub>
            </m:sSub>
          </m:den>
        </m:f>
        <m:nary>
          <m:naryPr>
            <m:ctrlPr>
              <w:rPr>
                <w:rFonts w:ascii="Cambria Math" w:eastAsia="Cambria Math" w:hAnsi="Cambria Math"/>
              </w:rPr>
            </m:ctrlPr>
          </m:naryPr>
          <m:sub>
            <m:r>
              <w:rPr>
                <w:rFonts w:ascii="Cambria Math" w:eastAsia="Cambria Math" w:hAnsi="Cambria Math"/>
                <w:lang w:val="pt-BR"/>
              </w:rPr>
              <m:t>0</m:t>
            </m:r>
          </m:sub>
          <m:sup>
            <m:sSub>
              <m:sSubPr>
                <m:ctrlPr>
                  <w:rPr>
                    <w:rFonts w:ascii="Cambria Math" w:eastAsia="Cambria Math" w:hAnsi="Cambria Math"/>
                    <w:i/>
                  </w:rPr>
                </m:ctrlPr>
              </m:sSubPr>
              <m:e>
                <m:r>
                  <w:rPr>
                    <w:rFonts w:ascii="Cambria Math" w:eastAsia="Cambria Math" w:hAnsi="Cambria Math"/>
                  </w:rPr>
                  <m:t>d</m:t>
                </m:r>
              </m:e>
              <m:sub>
                <m:r>
                  <w:rPr>
                    <w:rFonts w:ascii="Cambria Math" w:eastAsia="Cambria Math" w:hAnsi="Cambria Math"/>
                  </w:rPr>
                  <m:t>B</m:t>
                </m:r>
                <m:r>
                  <w:rPr>
                    <w:rFonts w:ascii="Cambria Math" w:eastAsia="Cambria Math" w:hAnsi="Cambria Math"/>
                    <w:lang w:val="pt-BR"/>
                  </w:rPr>
                  <m:t>(</m:t>
                </m:r>
                <m:r>
                  <w:rPr>
                    <w:rFonts w:ascii="Cambria Math" w:eastAsia="Cambria Math" w:hAnsi="Cambria Math"/>
                  </w:rPr>
                  <m:t>λ</m:t>
                </m:r>
                <m:r>
                  <w:rPr>
                    <w:rFonts w:ascii="Cambria Math" w:eastAsia="Cambria Math" w:hAnsi="Cambria Math"/>
                    <w:lang w:val="pt-BR"/>
                  </w:rPr>
                  <m:t>)</m:t>
                </m:r>
              </m:sub>
            </m:sSub>
          </m:sup>
          <m:e>
            <m:sSup>
              <m:sSupPr>
                <m:ctrlPr>
                  <w:rPr>
                    <w:rFonts w:ascii="Cambria Math" w:eastAsia="Cambria Math" w:hAnsi="Cambria Math"/>
                  </w:rPr>
                </m:ctrlPr>
              </m:sSupPr>
              <m:e>
                <m:r>
                  <w:rPr>
                    <w:rFonts w:ascii="Cambria Math" w:eastAsia="Cambria Math" w:hAnsi="Cambria Math"/>
                  </w:rPr>
                  <m:t>e</m:t>
                </m:r>
              </m:e>
              <m:sup>
                <m:r>
                  <w:rPr>
                    <w:rFonts w:ascii="Cambria Math" w:eastAsia="Cambria Math" w:hAnsi="Cambria Math"/>
                    <w:lang w:val="pt-BR"/>
                  </w:rPr>
                  <m:t>-</m:t>
                </m:r>
                <m:f>
                  <m:fPr>
                    <m:ctrlPr>
                      <w:rPr>
                        <w:rFonts w:ascii="Cambria Math" w:eastAsia="Cambria Math" w:hAnsi="Cambria Math"/>
                      </w:rPr>
                    </m:ctrlPr>
                  </m:fPr>
                  <m:num>
                    <m:r>
                      <w:rPr>
                        <w:rFonts w:ascii="Cambria Math" w:eastAsia="Cambria Math" w:hAnsi="Cambria Math"/>
                      </w:rPr>
                      <m:t>z</m:t>
                    </m:r>
                  </m:num>
                  <m:den>
                    <m:sSub>
                      <m:sSubPr>
                        <m:ctrlPr>
                          <w:rPr>
                            <w:rFonts w:ascii="Cambria Math" w:eastAsia="Cambria Math" w:hAnsi="Cambria Math"/>
                          </w:rPr>
                        </m:ctrlPr>
                      </m:sSubPr>
                      <m:e>
                        <m:r>
                          <w:rPr>
                            <w:rFonts w:ascii="Cambria Math" w:eastAsia="Cambria Math" w:hAnsi="Cambria Math"/>
                          </w:rPr>
                          <m:t>l</m:t>
                        </m:r>
                      </m:e>
                      <m:sub>
                        <m:r>
                          <w:rPr>
                            <w:rFonts w:ascii="Cambria Math" w:eastAsia="Cambria Math" w:hAnsi="Cambria Math"/>
                          </w:rPr>
                          <m:t>s</m:t>
                        </m:r>
                        <m:r>
                          <w:rPr>
                            <w:rFonts w:ascii="Cambria Math" w:eastAsia="Cambria Math" w:hAnsi="Cambria Math"/>
                            <w:lang w:val="pt-BR"/>
                          </w:rPr>
                          <m:t>(</m:t>
                        </m:r>
                        <m:r>
                          <w:rPr>
                            <w:rFonts w:ascii="Cambria Math" w:eastAsia="Cambria Math" w:hAnsi="Cambria Math"/>
                          </w:rPr>
                          <m:t>λ</m:t>
                        </m:r>
                        <m:r>
                          <w:rPr>
                            <w:rFonts w:ascii="Cambria Math" w:eastAsia="Cambria Math" w:hAnsi="Cambria Math"/>
                            <w:lang w:val="pt-BR"/>
                          </w:rPr>
                          <m:t>)</m:t>
                        </m:r>
                      </m:sub>
                    </m:sSub>
                  </m:den>
                </m:f>
              </m:sup>
            </m:sSup>
          </m:e>
        </m:nary>
        <m:r>
          <w:rPr>
            <w:rFonts w:ascii="Cambria Math" w:eastAsia="Cambria Math" w:hAnsi="Cambria Math"/>
          </w:rPr>
          <m:t>dz</m:t>
        </m:r>
        <m:r>
          <w:rPr>
            <w:rFonts w:ascii="Cambria Math" w:eastAsia="Cambria Math" w:hAnsi="Cambria Math"/>
            <w:lang w:val="pt-BR"/>
          </w:rPr>
          <m:t>=-</m:t>
        </m:r>
        <m:f>
          <m:fPr>
            <m:ctrlPr>
              <w:rPr>
                <w:rFonts w:ascii="Cambria Math" w:eastAsia="Cambria Math" w:hAnsi="Cambria Math"/>
              </w:rPr>
            </m:ctrlPr>
          </m:fPr>
          <m:num>
            <m:sSub>
              <m:sSubPr>
                <m:ctrlPr>
                  <w:rPr>
                    <w:rFonts w:ascii="Cambria Math" w:eastAsia="Cambria Math" w:hAnsi="Cambria Math"/>
                  </w:rPr>
                </m:ctrlPr>
              </m:sSubPr>
              <m:e>
                <m:r>
                  <w:rPr>
                    <w:rFonts w:ascii="Cambria Math" w:eastAsia="Cambria Math" w:hAnsi="Cambria Math"/>
                  </w:rPr>
                  <m:t>I</m:t>
                </m:r>
              </m:e>
              <m:sub>
                <m:r>
                  <w:rPr>
                    <w:rFonts w:ascii="Cambria Math" w:eastAsia="Cambria Math" w:hAnsi="Cambria Math"/>
                    <w:lang w:val="pt-BR"/>
                  </w:rPr>
                  <m:t>0</m:t>
                </m:r>
              </m:sub>
            </m:sSub>
            <m:sSub>
              <m:sSubPr>
                <m:ctrlPr>
                  <w:rPr>
                    <w:rFonts w:ascii="Cambria Math" w:eastAsia="Cambria Math" w:hAnsi="Cambria Math"/>
                  </w:rPr>
                </m:ctrlPr>
              </m:sSubPr>
              <m:e>
                <m:r>
                  <w:rPr>
                    <w:rFonts w:ascii="Cambria Math" w:eastAsia="Cambria Math" w:hAnsi="Cambria Math"/>
                  </w:rPr>
                  <m:t>l</m:t>
                </m:r>
              </m:e>
              <m:sub>
                <m:r>
                  <w:rPr>
                    <w:rFonts w:ascii="Cambria Math" w:eastAsia="Cambria Math" w:hAnsi="Cambria Math"/>
                  </w:rPr>
                  <m:t>s</m:t>
                </m:r>
                <m:r>
                  <w:rPr>
                    <w:rFonts w:ascii="Cambria Math" w:eastAsia="Cambria Math" w:hAnsi="Cambria Math"/>
                    <w:lang w:val="pt-BR"/>
                  </w:rPr>
                  <m:t>(</m:t>
                </m:r>
                <m:r>
                  <w:rPr>
                    <w:rFonts w:ascii="Cambria Math" w:eastAsia="Cambria Math" w:hAnsi="Cambria Math"/>
                  </w:rPr>
                  <m:t>λ</m:t>
                </m:r>
                <m:r>
                  <w:rPr>
                    <w:rFonts w:ascii="Cambria Math" w:eastAsia="Cambria Math" w:hAnsi="Cambria Math"/>
                    <w:lang w:val="pt-BR"/>
                  </w:rPr>
                  <m:t>)</m:t>
                </m:r>
              </m:sub>
            </m:sSub>
          </m:num>
          <m:den>
            <m:sSub>
              <m:sSubPr>
                <m:ctrlPr>
                  <w:rPr>
                    <w:rFonts w:ascii="Cambria Math" w:eastAsia="Cambria Math" w:hAnsi="Cambria Math"/>
                  </w:rPr>
                </m:ctrlPr>
              </m:sSubPr>
              <m:e>
                <m:r>
                  <m:rPr>
                    <m:sty m:val="p"/>
                  </m:rPr>
                  <w:rPr>
                    <w:rFonts w:ascii="Cambria Math" w:eastAsia="Cambria Math" w:hAnsi="Cambria Math"/>
                    <w:lang w:val="pt-BR"/>
                  </w:rPr>
                  <m:t>d</m:t>
                </m:r>
              </m:e>
              <m:sub>
                <m:r>
                  <w:rPr>
                    <w:rFonts w:ascii="Cambria Math" w:eastAsia="Cambria Math" w:hAnsi="Cambria Math"/>
                  </w:rPr>
                  <m:t>B</m:t>
                </m:r>
                <m:r>
                  <w:rPr>
                    <w:rFonts w:ascii="Cambria Math" w:eastAsia="Cambria Math" w:hAnsi="Cambria Math"/>
                    <w:lang w:val="pt-BR"/>
                  </w:rPr>
                  <m:t>(</m:t>
                </m:r>
                <m:r>
                  <w:rPr>
                    <w:rFonts w:ascii="Cambria Math" w:eastAsia="Cambria Math" w:hAnsi="Cambria Math"/>
                  </w:rPr>
                  <m:t>λ</m:t>
                </m:r>
                <m:r>
                  <w:rPr>
                    <w:rFonts w:ascii="Cambria Math" w:eastAsia="Cambria Math" w:hAnsi="Cambria Math"/>
                    <w:lang w:val="pt-BR"/>
                  </w:rPr>
                  <m:t>)</m:t>
                </m:r>
              </m:sub>
            </m:sSub>
          </m:den>
        </m:f>
        <m:d>
          <m:dPr>
            <m:ctrlPr>
              <w:rPr>
                <w:rFonts w:ascii="Cambria Math" w:eastAsia="Cambria Math" w:hAnsi="Cambria Math"/>
              </w:rPr>
            </m:ctrlPr>
          </m:dPr>
          <m:e>
            <m:sSup>
              <m:sSupPr>
                <m:ctrlPr>
                  <w:rPr>
                    <w:rFonts w:ascii="Cambria Math" w:eastAsia="Cambria Math" w:hAnsi="Cambria Math"/>
                  </w:rPr>
                </m:ctrlPr>
              </m:sSupPr>
              <m:e>
                <m:r>
                  <w:rPr>
                    <w:rFonts w:ascii="Cambria Math" w:eastAsia="Cambria Math" w:hAnsi="Cambria Math"/>
                  </w:rPr>
                  <m:t>e</m:t>
                </m:r>
              </m:e>
              <m:sup>
                <m:r>
                  <w:rPr>
                    <w:rFonts w:ascii="Cambria Math" w:eastAsia="Cambria Math" w:hAnsi="Cambria Math"/>
                    <w:lang w:val="pt-BR"/>
                  </w:rPr>
                  <m:t>-</m:t>
                </m:r>
                <m:f>
                  <m:fPr>
                    <m:ctrlPr>
                      <w:rPr>
                        <w:rFonts w:ascii="Cambria Math" w:eastAsia="Cambria Math" w:hAnsi="Cambria Math"/>
                      </w:rPr>
                    </m:ctrlPr>
                  </m:fPr>
                  <m:num>
                    <m:sSub>
                      <m:sSubPr>
                        <m:ctrlPr>
                          <w:rPr>
                            <w:rFonts w:ascii="Cambria Math" w:eastAsia="Cambria Math" w:hAnsi="Cambria Math"/>
                          </w:rPr>
                        </m:ctrlPr>
                      </m:sSubPr>
                      <m:e>
                        <m:r>
                          <m:rPr>
                            <m:sty m:val="p"/>
                          </m:rPr>
                          <w:rPr>
                            <w:rFonts w:ascii="Cambria Math" w:eastAsia="Cambria Math" w:hAnsi="Cambria Math"/>
                            <w:lang w:val="pt-BR"/>
                          </w:rPr>
                          <m:t>d</m:t>
                        </m:r>
                      </m:e>
                      <m:sub>
                        <m:r>
                          <w:rPr>
                            <w:rFonts w:ascii="Cambria Math" w:eastAsia="Cambria Math" w:hAnsi="Cambria Math"/>
                          </w:rPr>
                          <m:t>B</m:t>
                        </m:r>
                        <m:r>
                          <w:rPr>
                            <w:rFonts w:ascii="Cambria Math" w:eastAsia="Cambria Math" w:hAnsi="Cambria Math"/>
                            <w:lang w:val="pt-BR"/>
                          </w:rPr>
                          <m:t>(</m:t>
                        </m:r>
                        <m:r>
                          <w:rPr>
                            <w:rFonts w:ascii="Cambria Math" w:eastAsia="Cambria Math" w:hAnsi="Cambria Math"/>
                          </w:rPr>
                          <m:t>λ</m:t>
                        </m:r>
                        <m:r>
                          <w:rPr>
                            <w:rFonts w:ascii="Cambria Math" w:eastAsia="Cambria Math" w:hAnsi="Cambria Math"/>
                            <w:lang w:val="pt-BR"/>
                          </w:rPr>
                          <m:t>)</m:t>
                        </m:r>
                      </m:sub>
                    </m:sSub>
                  </m:num>
                  <m:den>
                    <m:sSub>
                      <m:sSubPr>
                        <m:ctrlPr>
                          <w:rPr>
                            <w:rFonts w:ascii="Cambria Math" w:eastAsia="Cambria Math" w:hAnsi="Cambria Math"/>
                          </w:rPr>
                        </m:ctrlPr>
                      </m:sSubPr>
                      <m:e>
                        <m:r>
                          <w:rPr>
                            <w:rFonts w:ascii="Cambria Math" w:eastAsia="Cambria Math" w:hAnsi="Cambria Math"/>
                          </w:rPr>
                          <m:t>l</m:t>
                        </m:r>
                      </m:e>
                      <m:sub>
                        <m:r>
                          <w:rPr>
                            <w:rFonts w:ascii="Cambria Math" w:eastAsia="Cambria Math" w:hAnsi="Cambria Math"/>
                          </w:rPr>
                          <m:t>s</m:t>
                        </m:r>
                        <m:r>
                          <w:rPr>
                            <w:rFonts w:ascii="Cambria Math" w:eastAsia="Cambria Math" w:hAnsi="Cambria Math"/>
                            <w:lang w:val="pt-BR"/>
                          </w:rPr>
                          <m:t>(</m:t>
                        </m:r>
                        <m:r>
                          <w:rPr>
                            <w:rFonts w:ascii="Cambria Math" w:eastAsia="Cambria Math" w:hAnsi="Cambria Math"/>
                          </w:rPr>
                          <m:t>λ</m:t>
                        </m:r>
                        <m:r>
                          <w:rPr>
                            <w:rFonts w:ascii="Cambria Math" w:eastAsia="Cambria Math" w:hAnsi="Cambria Math"/>
                            <w:lang w:val="pt-BR"/>
                          </w:rPr>
                          <m:t>)</m:t>
                        </m:r>
                      </m:sub>
                    </m:sSub>
                  </m:den>
                </m:f>
              </m:sup>
            </m:sSup>
            <m:r>
              <w:rPr>
                <w:rFonts w:ascii="Cambria Math" w:eastAsia="Cambria Math" w:hAnsi="Cambria Math"/>
                <w:lang w:val="pt-BR"/>
              </w:rPr>
              <m:t>-1</m:t>
            </m:r>
          </m:e>
        </m:d>
      </m:oMath>
      <w:r w:rsidR="006C621B" w:rsidRPr="005976CB">
        <w:rPr>
          <w:lang w:val="pt-BR"/>
        </w:rPr>
        <w:t xml:space="preserve">                  (A3) </w:t>
      </w:r>
    </w:p>
    <w:p w:rsidR="006C621B" w:rsidRPr="005976CB" w:rsidRDefault="006C621B" w:rsidP="006C621B">
      <w:pPr>
        <w:spacing w:line="480" w:lineRule="auto"/>
        <w:jc w:val="both"/>
        <w:rPr>
          <w:lang w:val="en-US"/>
        </w:rPr>
      </w:pPr>
      <w:r w:rsidRPr="005976CB">
        <w:rPr>
          <w:lang w:val="en-US"/>
        </w:rPr>
        <w:t xml:space="preserve">Where </w:t>
      </w:r>
      <w:proofErr w:type="gramStart"/>
      <w:r w:rsidRPr="005976CB">
        <w:rPr>
          <w:i/>
          <w:lang w:val="en-US"/>
        </w:rPr>
        <w:t>d</w:t>
      </w:r>
      <w:r w:rsidRPr="005976CB">
        <w:rPr>
          <w:iCs/>
          <w:vertAlign w:val="subscript"/>
          <w:lang w:val="en-US"/>
        </w:rPr>
        <w:t>B</w:t>
      </w:r>
      <w:r w:rsidRPr="005976CB">
        <w:rPr>
          <w:vertAlign w:val="subscript"/>
          <w:lang w:val="en-US"/>
        </w:rPr>
        <w:t>(</w:t>
      </w:r>
      <w:proofErr w:type="gramEnd"/>
      <w:r w:rsidRPr="005976CB">
        <w:rPr>
          <w:vertAlign w:val="subscript"/>
        </w:rPr>
        <w:sym w:font="Symbol" w:char="F06C"/>
      </w:r>
      <w:r w:rsidRPr="005976CB">
        <w:rPr>
          <w:vertAlign w:val="subscript"/>
          <w:lang w:val="en-US"/>
        </w:rPr>
        <w:t>)</w:t>
      </w:r>
      <w:r w:rsidRPr="005976CB">
        <w:rPr>
          <w:lang w:val="en-US"/>
        </w:rPr>
        <w:t xml:space="preserve">, </w:t>
      </w:r>
      <w:r w:rsidRPr="005976CB">
        <w:rPr>
          <w:i/>
          <w:lang w:val="en-US"/>
        </w:rPr>
        <w:t>I</w:t>
      </w:r>
      <w:r w:rsidRPr="005976CB">
        <w:rPr>
          <w:vertAlign w:val="subscript"/>
          <w:lang w:val="en-US"/>
        </w:rPr>
        <w:t>P</w:t>
      </w:r>
      <w:r w:rsidRPr="005976CB">
        <w:rPr>
          <w:lang w:val="en-US"/>
        </w:rPr>
        <w:t xml:space="preserve">(z) and </w:t>
      </w:r>
      <w:r w:rsidRPr="005976CB">
        <w:rPr>
          <w:i/>
          <w:lang w:val="en-US"/>
        </w:rPr>
        <w:t>I</w:t>
      </w:r>
      <w:r w:rsidRPr="005976CB">
        <w:rPr>
          <w:vertAlign w:val="subscript"/>
          <w:lang w:val="en-US"/>
        </w:rPr>
        <w:t>0</w:t>
      </w:r>
      <w:r w:rsidRPr="005976CB">
        <w:rPr>
          <w:lang w:val="en-US"/>
        </w:rPr>
        <w:t xml:space="preserve"> are the depth of focus and/or collection depth (that depends of the objective and pumping wavelength used), the ballistic pumping intensity at </w:t>
      </w:r>
      <w:r w:rsidRPr="005976CB">
        <w:rPr>
          <w:i/>
          <w:lang w:val="en-US"/>
        </w:rPr>
        <w:t>z</w:t>
      </w:r>
      <w:r w:rsidRPr="005976CB">
        <w:rPr>
          <w:lang w:val="en-US"/>
        </w:rPr>
        <w:t xml:space="preserve"> depth into the sample and the incident pumping intensity at </w:t>
      </w:r>
      <w:r w:rsidRPr="005976CB">
        <w:rPr>
          <w:i/>
          <w:lang w:val="en-US"/>
        </w:rPr>
        <w:t>z</w:t>
      </w:r>
      <w:r w:rsidRPr="005976CB">
        <w:rPr>
          <w:lang w:val="en-US"/>
        </w:rPr>
        <w:t xml:space="preserve">=0, respectively. z=0 is at the sample input surface, i.e., at the sample-slide interface (glass). Clearly, when </w:t>
      </w:r>
      <w:r w:rsidRPr="005976CB">
        <w:rPr>
          <w:i/>
          <w:lang w:val="en-US"/>
        </w:rPr>
        <w:t>l</w:t>
      </w:r>
      <w:r w:rsidRPr="005976CB">
        <w:rPr>
          <w:vertAlign w:val="subscript"/>
          <w:lang w:val="en-US"/>
        </w:rPr>
        <w:t>s</w:t>
      </w:r>
      <w:r w:rsidRPr="005976CB">
        <w:rPr>
          <w:rFonts w:eastAsia="Symbol"/>
          <w:lang w:val="en-US"/>
        </w:rPr>
        <w:t>&gt;&gt;</w:t>
      </w:r>
      <w:r w:rsidRPr="005976CB">
        <w:rPr>
          <w:i/>
          <w:lang w:val="en-US"/>
        </w:rPr>
        <w:t>d</w:t>
      </w:r>
      <w:r w:rsidRPr="005976CB">
        <w:rPr>
          <w:iCs/>
          <w:vertAlign w:val="subscript"/>
          <w:lang w:val="en-US"/>
        </w:rPr>
        <w:t>B</w:t>
      </w:r>
      <w:r w:rsidRPr="005976CB">
        <w:rPr>
          <w:lang w:val="en-US"/>
        </w:rPr>
        <w:t xml:space="preserve">, </w:t>
      </w:r>
      <w:r w:rsidRPr="005976CB">
        <w:rPr>
          <w:i/>
          <w:lang w:val="en-US"/>
        </w:rPr>
        <w:t>I</w:t>
      </w:r>
      <w:r w:rsidRPr="005976CB">
        <w:rPr>
          <w:vertAlign w:val="subscript"/>
          <w:lang w:val="en-US"/>
        </w:rPr>
        <w:t>PM</w:t>
      </w:r>
      <w:r w:rsidRPr="005976CB">
        <w:rPr>
          <w:rFonts w:eastAsia="Symbol"/>
          <w:lang w:val="en-US"/>
        </w:rPr>
        <w:t>≈</w:t>
      </w:r>
      <w:r w:rsidRPr="005976CB">
        <w:rPr>
          <w:i/>
          <w:lang w:val="en-US"/>
        </w:rPr>
        <w:t>I</w:t>
      </w:r>
      <w:r w:rsidRPr="005976CB">
        <w:rPr>
          <w:vertAlign w:val="subscript"/>
          <w:lang w:val="en-US"/>
        </w:rPr>
        <w:t>0</w:t>
      </w:r>
      <w:r w:rsidRPr="005976CB">
        <w:rPr>
          <w:lang w:val="en-US"/>
        </w:rPr>
        <w:t xml:space="preserve">. </w:t>
      </w:r>
      <w:r w:rsidRPr="005976CB">
        <w:rPr>
          <w:i/>
          <w:lang w:val="en-US"/>
        </w:rPr>
        <w:t>I</w:t>
      </w:r>
      <w:r w:rsidRPr="005976CB">
        <w:rPr>
          <w:vertAlign w:val="subscript"/>
          <w:lang w:val="en-US"/>
        </w:rPr>
        <w:t>0</w:t>
      </w:r>
      <w:r w:rsidRPr="005976CB">
        <w:rPr>
          <w:lang w:val="en-US"/>
        </w:rPr>
        <w:t xml:space="preserve"> does not depend on the sample and neither on the pumping wavelength. The collected Raman signal is also the mean of the emitted Raman signal in the collection depth, which is the same as the pumping depth. Therefore, in order to correct the collected Raman intensity (I</w:t>
      </w:r>
      <w:r w:rsidRPr="005976CB">
        <w:rPr>
          <w:vertAlign w:val="subscript"/>
          <w:lang w:val="en-US"/>
        </w:rPr>
        <w:t>CR</w:t>
      </w:r>
      <w:r w:rsidRPr="005976CB">
        <w:rPr>
          <w:lang w:val="en-US"/>
        </w:rPr>
        <w:t xml:space="preserve">), the measured Raman signal is divided </w:t>
      </w:r>
      <w:r w:rsidRPr="0060584E">
        <w:rPr>
          <w:lang w:val="en-US"/>
        </w:rPr>
        <w:t xml:space="preserve">by </w:t>
      </w:r>
      <m:oMath>
        <m:sSup>
          <m:sSupPr>
            <m:ctrlPr>
              <w:rPr>
                <w:rFonts w:ascii="Cambria Math" w:hAnsi="Cambria Math"/>
                <w:i/>
                <w:iCs/>
                <w:sz w:val="20"/>
                <w:szCs w:val="20"/>
              </w:rPr>
            </m:ctrlPr>
          </m:sSupPr>
          <m:e>
            <m:d>
              <m:dPr>
                <m:begChr m:val="["/>
                <m:endChr m:val="]"/>
                <m:ctrlPr>
                  <w:rPr>
                    <w:rFonts w:ascii="Cambria Math" w:hAnsi="Cambria Math"/>
                    <w:i/>
                    <w:iCs/>
                    <w:sz w:val="20"/>
                    <w:szCs w:val="20"/>
                  </w:rPr>
                </m:ctrlPr>
              </m:dPr>
              <m:e>
                <m:f>
                  <m:fPr>
                    <m:ctrlPr>
                      <w:rPr>
                        <w:rFonts w:ascii="Cambria Math" w:hAnsi="Cambria Math"/>
                        <w:i/>
                        <w:iCs/>
                        <w:sz w:val="20"/>
                        <w:szCs w:val="20"/>
                      </w:rPr>
                    </m:ctrlPr>
                  </m:fPr>
                  <m:num>
                    <m:sSub>
                      <m:sSubPr>
                        <m:ctrlPr>
                          <w:rPr>
                            <w:rFonts w:ascii="Cambria Math" w:hAnsi="Cambria Math"/>
                            <w:i/>
                            <w:iCs/>
                            <w:sz w:val="20"/>
                            <w:szCs w:val="20"/>
                          </w:rPr>
                        </m:ctrlPr>
                      </m:sSubPr>
                      <m:e>
                        <m:r>
                          <w:rPr>
                            <w:rFonts w:ascii="Cambria Math" w:hAnsi="Cambria Math"/>
                            <w:sz w:val="20"/>
                            <w:szCs w:val="20"/>
                          </w:rPr>
                          <m:t>l</m:t>
                        </m:r>
                      </m:e>
                      <m:sub>
                        <m:r>
                          <w:rPr>
                            <w:rFonts w:ascii="Cambria Math" w:hAnsi="Cambria Math"/>
                            <w:sz w:val="20"/>
                            <w:szCs w:val="20"/>
                          </w:rPr>
                          <m:t>s</m:t>
                        </m:r>
                      </m:sub>
                    </m:sSub>
                  </m:num>
                  <m:den>
                    <m:sSub>
                      <m:sSubPr>
                        <m:ctrlPr>
                          <w:rPr>
                            <w:rFonts w:ascii="Cambria Math" w:hAnsi="Cambria Math"/>
                            <w:i/>
                            <w:sz w:val="20"/>
                            <w:szCs w:val="20"/>
                          </w:rPr>
                        </m:ctrlPr>
                      </m:sSubPr>
                      <m:e>
                        <m:r>
                          <w:rPr>
                            <w:rFonts w:ascii="Cambria Math" w:hAnsi="Cambria Math"/>
                            <w:sz w:val="20"/>
                            <w:szCs w:val="20"/>
                          </w:rPr>
                          <m:t>d</m:t>
                        </m:r>
                      </m:e>
                      <m:sub>
                        <m:r>
                          <w:rPr>
                            <w:rFonts w:ascii="Cambria Math" w:hAnsi="Cambria Math"/>
                            <w:sz w:val="20"/>
                            <w:szCs w:val="20"/>
                          </w:rPr>
                          <m:t>B</m:t>
                        </m:r>
                        <m:r>
                          <w:rPr>
                            <w:rFonts w:ascii="Cambria Math" w:hAnsi="Cambria Math"/>
                            <w:sz w:val="20"/>
                            <w:szCs w:val="20"/>
                            <w:lang w:val="en-US"/>
                          </w:rPr>
                          <m:t>(</m:t>
                        </m:r>
                        <m:r>
                          <w:rPr>
                            <w:rFonts w:ascii="Cambria Math" w:hAnsi="Cambria Math"/>
                            <w:sz w:val="20"/>
                            <w:szCs w:val="20"/>
                          </w:rPr>
                          <m:t>M</m:t>
                        </m:r>
                        <m:r>
                          <w:rPr>
                            <w:rFonts w:ascii="Cambria Math" w:hAnsi="Cambria Math"/>
                            <w:sz w:val="20"/>
                            <w:szCs w:val="20"/>
                            <w:lang w:val="en-US"/>
                          </w:rPr>
                          <m:t>)</m:t>
                        </m:r>
                      </m:sub>
                    </m:sSub>
                  </m:den>
                </m:f>
                <m:d>
                  <m:dPr>
                    <m:ctrlPr>
                      <w:rPr>
                        <w:rFonts w:ascii="Cambria Math" w:hAnsi="Cambria Math"/>
                        <w:i/>
                        <w:iCs/>
                        <w:sz w:val="20"/>
                        <w:szCs w:val="20"/>
                      </w:rPr>
                    </m:ctrlPr>
                  </m:dPr>
                  <m:e>
                    <m:sSup>
                      <m:sSupPr>
                        <m:ctrlPr>
                          <w:rPr>
                            <w:rFonts w:ascii="Cambria Math" w:hAnsi="Cambria Math"/>
                            <w:i/>
                            <w:iCs/>
                            <w:sz w:val="20"/>
                            <w:szCs w:val="20"/>
                          </w:rPr>
                        </m:ctrlPr>
                      </m:sSupPr>
                      <m:e>
                        <m:r>
                          <w:rPr>
                            <w:rFonts w:ascii="Cambria Math" w:hAnsi="Cambria Math"/>
                            <w:sz w:val="20"/>
                            <w:szCs w:val="20"/>
                          </w:rPr>
                          <m:t>e</m:t>
                        </m:r>
                      </m:e>
                      <m:sup>
                        <m:r>
                          <m:rPr>
                            <m:sty m:val="p"/>
                          </m:rPr>
                          <w:rPr>
                            <w:rFonts w:ascii="Cambria Math" w:hAnsi="Cambria Math"/>
                            <w:sz w:val="20"/>
                            <w:szCs w:val="20"/>
                            <w:lang w:val="en-US"/>
                          </w:rPr>
                          <m:t>-</m:t>
                        </m:r>
                        <m:f>
                          <m:fPr>
                            <m:ctrlPr>
                              <w:rPr>
                                <w:rFonts w:ascii="Cambria Math" w:hAnsi="Cambria Math"/>
                                <w:i/>
                                <w:iCs/>
                                <w:sz w:val="20"/>
                                <w:szCs w:val="20"/>
                              </w:rPr>
                            </m:ctrlPr>
                          </m:fPr>
                          <m:num>
                            <m:sSub>
                              <m:sSubPr>
                                <m:ctrlPr>
                                  <w:rPr>
                                    <w:rFonts w:ascii="Cambria Math" w:hAnsi="Cambria Math"/>
                                    <w:i/>
                                    <w:sz w:val="20"/>
                                    <w:szCs w:val="20"/>
                                  </w:rPr>
                                </m:ctrlPr>
                              </m:sSubPr>
                              <m:e>
                                <m:r>
                                  <w:rPr>
                                    <w:rFonts w:ascii="Cambria Math" w:hAnsi="Cambria Math"/>
                                    <w:sz w:val="20"/>
                                    <w:szCs w:val="20"/>
                                  </w:rPr>
                                  <m:t>d</m:t>
                                </m:r>
                              </m:e>
                              <m:sub>
                                <m:r>
                                  <w:rPr>
                                    <w:rFonts w:ascii="Cambria Math" w:hAnsi="Cambria Math"/>
                                    <w:sz w:val="20"/>
                                    <w:szCs w:val="20"/>
                                  </w:rPr>
                                  <m:t>B</m:t>
                                </m:r>
                                <m:r>
                                  <w:rPr>
                                    <w:rFonts w:ascii="Cambria Math" w:hAnsi="Cambria Math"/>
                                    <w:sz w:val="20"/>
                                    <w:szCs w:val="20"/>
                                    <w:lang w:val="en-US"/>
                                  </w:rPr>
                                  <m:t>(</m:t>
                                </m:r>
                                <m:r>
                                  <w:rPr>
                                    <w:rFonts w:ascii="Cambria Math" w:hAnsi="Cambria Math"/>
                                    <w:sz w:val="20"/>
                                    <w:szCs w:val="20"/>
                                  </w:rPr>
                                  <m:t>M</m:t>
                                </m:r>
                                <m:r>
                                  <w:rPr>
                                    <w:rFonts w:ascii="Cambria Math" w:hAnsi="Cambria Math"/>
                                    <w:sz w:val="20"/>
                                    <w:szCs w:val="20"/>
                                    <w:lang w:val="en-US"/>
                                  </w:rPr>
                                  <m:t>)</m:t>
                                </m:r>
                              </m:sub>
                            </m:sSub>
                          </m:num>
                          <m:den>
                            <m:sSub>
                              <m:sSubPr>
                                <m:ctrlPr>
                                  <w:rPr>
                                    <w:rFonts w:ascii="Cambria Math" w:hAnsi="Cambria Math"/>
                                    <w:i/>
                                    <w:iCs/>
                                    <w:sz w:val="20"/>
                                    <w:szCs w:val="20"/>
                                  </w:rPr>
                                </m:ctrlPr>
                              </m:sSubPr>
                              <m:e>
                                <m:r>
                                  <w:rPr>
                                    <w:rFonts w:ascii="Cambria Math" w:hAnsi="Cambria Math"/>
                                    <w:sz w:val="20"/>
                                    <w:szCs w:val="20"/>
                                  </w:rPr>
                                  <m:t>l</m:t>
                                </m:r>
                              </m:e>
                              <m:sub>
                                <m:r>
                                  <w:rPr>
                                    <w:rFonts w:ascii="Cambria Math" w:hAnsi="Cambria Math"/>
                                    <w:sz w:val="20"/>
                                    <w:szCs w:val="20"/>
                                  </w:rPr>
                                  <m:t>s</m:t>
                                </m:r>
                              </m:sub>
                            </m:sSub>
                          </m:den>
                        </m:f>
                      </m:sup>
                    </m:sSup>
                    <m:r>
                      <m:rPr>
                        <m:sty m:val="p"/>
                      </m:rPr>
                      <w:rPr>
                        <w:rFonts w:ascii="Cambria Math" w:hAnsi="Cambria Math"/>
                        <w:sz w:val="20"/>
                        <w:szCs w:val="20"/>
                        <w:lang w:val="en-US"/>
                      </w:rPr>
                      <m:t>-1</m:t>
                    </m:r>
                  </m:e>
                </m:d>
              </m:e>
            </m:d>
          </m:e>
          <m:sup>
            <m:r>
              <w:rPr>
                <w:rFonts w:ascii="Cambria Math" w:hAnsi="Cambria Math"/>
                <w:sz w:val="20"/>
                <w:szCs w:val="20"/>
                <w:lang w:val="en-US"/>
              </w:rPr>
              <m:t>2</m:t>
            </m:r>
          </m:sup>
        </m:sSup>
      </m:oMath>
      <w:r w:rsidRPr="0060584E">
        <w:rPr>
          <w:lang w:val="en-US"/>
        </w:rPr>
        <w:t>for each</w:t>
      </w:r>
      <w:r w:rsidRPr="005976CB">
        <w:rPr>
          <w:lang w:val="en-US"/>
        </w:rPr>
        <w:t xml:space="preserve"> sample and specific pumping wavelength, considering pumping and collection.</w:t>
      </w:r>
    </w:p>
    <w:p w:rsidR="006C621B" w:rsidRDefault="006C621B" w:rsidP="006C621B">
      <w:pPr>
        <w:spacing w:line="480" w:lineRule="auto"/>
        <w:jc w:val="both"/>
        <w:rPr>
          <w:lang w:val="en-US"/>
        </w:rPr>
      </w:pPr>
      <w:r w:rsidRPr="00244779">
        <w:rPr>
          <w:lang w:val="en-US"/>
        </w:rPr>
        <w:t>Additionally, we must include a correction for the reflected pumping light at the air-slide and slide-sample interfaces, and the reflection of the emitted light at the slide-air interface (</w:t>
      </w:r>
      <w:r>
        <w:rPr>
          <w:lang w:val="en-US"/>
        </w:rPr>
        <w:t xml:space="preserve">by </w:t>
      </w:r>
      <w:r w:rsidRPr="00244779">
        <w:rPr>
          <w:lang w:val="en-US"/>
        </w:rPr>
        <w:t>non-index matching). Therefore, the measured Raman signal must also be divided by &lt;1-Ref</w:t>
      </w:r>
      <w:r w:rsidRPr="00244779">
        <w:rPr>
          <w:vertAlign w:val="subscript"/>
          <w:lang w:val="en-US"/>
        </w:rPr>
        <w:t>CM</w:t>
      </w:r>
      <w:r w:rsidRPr="00244779">
        <w:rPr>
          <w:lang w:val="en-US"/>
        </w:rPr>
        <w:t xml:space="preserve">&gt;, where </w:t>
      </w:r>
      <w:proofErr w:type="spellStart"/>
      <w:r w:rsidRPr="00244779">
        <w:rPr>
          <w:lang w:val="en-US"/>
        </w:rPr>
        <w:t>Ref</w:t>
      </w:r>
      <w:r w:rsidRPr="00244779">
        <w:rPr>
          <w:vertAlign w:val="subscript"/>
          <w:lang w:val="en-US"/>
        </w:rPr>
        <w:t>CM</w:t>
      </w:r>
      <w:proofErr w:type="spellEnd"/>
      <w:r w:rsidRPr="00244779">
        <w:rPr>
          <w:lang w:val="en-US"/>
        </w:rPr>
        <w:t xml:space="preserve"> is the average reflection coefficient between 0º and </w:t>
      </w:r>
      <w:r w:rsidRPr="008D79CA">
        <w:sym w:font="Symbol" w:char="F071"/>
      </w:r>
      <w:r w:rsidRPr="00244779">
        <w:rPr>
          <w:vertAlign w:val="subscript"/>
          <w:lang w:val="en-US"/>
        </w:rPr>
        <w:t>CM</w:t>
      </w:r>
      <w:r w:rsidRPr="00244779">
        <w:rPr>
          <w:lang w:val="en-US"/>
        </w:rPr>
        <w:t xml:space="preserve"> at the above interfaces</w:t>
      </w:r>
      <w:r>
        <w:rPr>
          <w:lang w:val="en-US"/>
        </w:rPr>
        <w:t xml:space="preserve"> (see table </w:t>
      </w:r>
      <w:r w:rsidR="002F7A0D">
        <w:rPr>
          <w:lang w:val="en-US"/>
        </w:rPr>
        <w:t>S</w:t>
      </w:r>
      <w:r>
        <w:rPr>
          <w:lang w:val="en-US"/>
        </w:rPr>
        <w:t>1)</w:t>
      </w:r>
      <w:r w:rsidRPr="00244779">
        <w:rPr>
          <w:lang w:val="en-US"/>
        </w:rPr>
        <w:t>.</w:t>
      </w:r>
      <w:r>
        <w:rPr>
          <w:lang w:val="en-US"/>
        </w:rPr>
        <w:t xml:space="preserve"> In this way, collected Raman intensity is scaled by the following expression:</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80"/>
        <w:gridCol w:w="818"/>
      </w:tblGrid>
      <w:tr w:rsidR="006C621B" w:rsidRPr="00244779" w:rsidTr="001707BA">
        <w:tc>
          <w:tcPr>
            <w:tcW w:w="8784" w:type="dxa"/>
          </w:tcPr>
          <w:p w:rsidR="006C621B" w:rsidRPr="0060584E" w:rsidRDefault="00000000" w:rsidP="001707BA">
            <w:pPr>
              <w:jc w:val="both"/>
              <w:rPr>
                <w:lang w:val="en-US"/>
              </w:rPr>
            </w:pPr>
            <m:oMathPara>
              <m:oMath>
                <m:sSup>
                  <m:sSupPr>
                    <m:ctrlPr>
                      <w:rPr>
                        <w:rFonts w:ascii="Cambria Math" w:hAnsi="Cambria Math"/>
                        <w:i/>
                        <w:iCs/>
                        <w:sz w:val="20"/>
                        <w:szCs w:val="20"/>
                      </w:rPr>
                    </m:ctrlPr>
                  </m:sSupPr>
                  <m:e>
                    <m:d>
                      <m:dPr>
                        <m:begChr m:val="["/>
                        <m:endChr m:val="]"/>
                        <m:ctrlPr>
                          <w:rPr>
                            <w:rFonts w:ascii="Cambria Math" w:hAnsi="Cambria Math"/>
                            <w:i/>
                            <w:iCs/>
                            <w:sz w:val="20"/>
                            <w:szCs w:val="20"/>
                          </w:rPr>
                        </m:ctrlPr>
                      </m:dPr>
                      <m:e>
                        <m:f>
                          <m:fPr>
                            <m:ctrlPr>
                              <w:rPr>
                                <w:rFonts w:ascii="Cambria Math" w:hAnsi="Cambria Math"/>
                                <w:i/>
                                <w:iCs/>
                                <w:sz w:val="20"/>
                                <w:szCs w:val="20"/>
                              </w:rPr>
                            </m:ctrlPr>
                          </m:fPr>
                          <m:num>
                            <m:sSub>
                              <m:sSubPr>
                                <m:ctrlPr>
                                  <w:rPr>
                                    <w:rFonts w:ascii="Cambria Math" w:hAnsi="Cambria Math"/>
                                    <w:i/>
                                    <w:iCs/>
                                    <w:sz w:val="20"/>
                                    <w:szCs w:val="20"/>
                                  </w:rPr>
                                </m:ctrlPr>
                              </m:sSubPr>
                              <m:e>
                                <m:r>
                                  <w:rPr>
                                    <w:rFonts w:ascii="Cambria Math" w:hAnsi="Cambria Math"/>
                                    <w:sz w:val="20"/>
                                    <w:szCs w:val="20"/>
                                  </w:rPr>
                                  <m:t>l</m:t>
                                </m:r>
                              </m:e>
                              <m:sub>
                                <m:r>
                                  <w:rPr>
                                    <w:rFonts w:ascii="Cambria Math" w:hAnsi="Cambria Math"/>
                                    <w:sz w:val="20"/>
                                    <w:szCs w:val="20"/>
                                  </w:rPr>
                                  <m:t>s</m:t>
                                </m:r>
                              </m:sub>
                            </m:sSub>
                          </m:num>
                          <m:den>
                            <m:sSub>
                              <m:sSubPr>
                                <m:ctrlPr>
                                  <w:rPr>
                                    <w:rFonts w:ascii="Cambria Math" w:hAnsi="Cambria Math"/>
                                    <w:i/>
                                    <w:sz w:val="20"/>
                                    <w:szCs w:val="20"/>
                                  </w:rPr>
                                </m:ctrlPr>
                              </m:sSubPr>
                              <m:e>
                                <m:r>
                                  <w:rPr>
                                    <w:rFonts w:ascii="Cambria Math" w:hAnsi="Cambria Math"/>
                                    <w:sz w:val="20"/>
                                    <w:szCs w:val="20"/>
                                  </w:rPr>
                                  <m:t>d</m:t>
                                </m:r>
                              </m:e>
                              <m:sub>
                                <m:r>
                                  <w:rPr>
                                    <w:rFonts w:ascii="Cambria Math" w:hAnsi="Cambria Math"/>
                                    <w:sz w:val="20"/>
                                    <w:szCs w:val="20"/>
                                  </w:rPr>
                                  <m:t>B(M)</m:t>
                                </m:r>
                              </m:sub>
                            </m:sSub>
                          </m:den>
                        </m:f>
                        <m:d>
                          <m:dPr>
                            <m:ctrlPr>
                              <w:rPr>
                                <w:rFonts w:ascii="Cambria Math" w:hAnsi="Cambria Math"/>
                                <w:i/>
                                <w:iCs/>
                                <w:sz w:val="20"/>
                                <w:szCs w:val="20"/>
                              </w:rPr>
                            </m:ctrlPr>
                          </m:dPr>
                          <m:e>
                            <m:sSup>
                              <m:sSupPr>
                                <m:ctrlPr>
                                  <w:rPr>
                                    <w:rFonts w:ascii="Cambria Math" w:hAnsi="Cambria Math"/>
                                    <w:i/>
                                    <w:iCs/>
                                    <w:sz w:val="20"/>
                                    <w:szCs w:val="20"/>
                                  </w:rPr>
                                </m:ctrlPr>
                              </m:sSupPr>
                              <m:e>
                                <m:r>
                                  <w:rPr>
                                    <w:rFonts w:ascii="Cambria Math" w:hAnsi="Cambria Math"/>
                                    <w:sz w:val="20"/>
                                    <w:szCs w:val="20"/>
                                  </w:rPr>
                                  <m:t>e</m:t>
                                </m:r>
                              </m:e>
                              <m:sup>
                                <m:r>
                                  <m:rPr>
                                    <m:sty m:val="p"/>
                                  </m:rPr>
                                  <w:rPr>
                                    <w:rFonts w:ascii="Cambria Math" w:hAnsi="Cambria Math"/>
                                    <w:sz w:val="20"/>
                                    <w:szCs w:val="20"/>
                                    <w:lang w:val="en-US"/>
                                  </w:rPr>
                                  <m:t>-</m:t>
                                </m:r>
                                <m:f>
                                  <m:fPr>
                                    <m:ctrlPr>
                                      <w:rPr>
                                        <w:rFonts w:ascii="Cambria Math" w:hAnsi="Cambria Math"/>
                                        <w:i/>
                                        <w:iCs/>
                                        <w:sz w:val="20"/>
                                        <w:szCs w:val="20"/>
                                      </w:rPr>
                                    </m:ctrlPr>
                                  </m:fPr>
                                  <m:num>
                                    <m:sSub>
                                      <m:sSubPr>
                                        <m:ctrlPr>
                                          <w:rPr>
                                            <w:rFonts w:ascii="Cambria Math" w:hAnsi="Cambria Math"/>
                                            <w:i/>
                                            <w:sz w:val="20"/>
                                            <w:szCs w:val="20"/>
                                          </w:rPr>
                                        </m:ctrlPr>
                                      </m:sSubPr>
                                      <m:e>
                                        <m:r>
                                          <w:rPr>
                                            <w:rFonts w:ascii="Cambria Math" w:hAnsi="Cambria Math"/>
                                            <w:sz w:val="20"/>
                                            <w:szCs w:val="20"/>
                                          </w:rPr>
                                          <m:t>d</m:t>
                                        </m:r>
                                      </m:e>
                                      <m:sub>
                                        <m:r>
                                          <w:rPr>
                                            <w:rFonts w:ascii="Cambria Math" w:hAnsi="Cambria Math"/>
                                            <w:sz w:val="20"/>
                                            <w:szCs w:val="20"/>
                                          </w:rPr>
                                          <m:t>B(M)</m:t>
                                        </m:r>
                                      </m:sub>
                                    </m:sSub>
                                  </m:num>
                                  <m:den>
                                    <m:sSub>
                                      <m:sSubPr>
                                        <m:ctrlPr>
                                          <w:rPr>
                                            <w:rFonts w:ascii="Cambria Math" w:hAnsi="Cambria Math"/>
                                            <w:i/>
                                            <w:iCs/>
                                            <w:sz w:val="20"/>
                                            <w:szCs w:val="20"/>
                                          </w:rPr>
                                        </m:ctrlPr>
                                      </m:sSubPr>
                                      <m:e>
                                        <m:r>
                                          <w:rPr>
                                            <w:rFonts w:ascii="Cambria Math" w:hAnsi="Cambria Math"/>
                                            <w:sz w:val="20"/>
                                            <w:szCs w:val="20"/>
                                          </w:rPr>
                                          <m:t>l</m:t>
                                        </m:r>
                                      </m:e>
                                      <m:sub>
                                        <m:r>
                                          <w:rPr>
                                            <w:rFonts w:ascii="Cambria Math" w:hAnsi="Cambria Math"/>
                                            <w:sz w:val="20"/>
                                            <w:szCs w:val="20"/>
                                          </w:rPr>
                                          <m:t>s</m:t>
                                        </m:r>
                                      </m:sub>
                                    </m:sSub>
                                  </m:den>
                                </m:f>
                              </m:sup>
                            </m:sSup>
                            <m:r>
                              <m:rPr>
                                <m:sty m:val="p"/>
                              </m:rPr>
                              <w:rPr>
                                <w:rFonts w:ascii="Cambria Math" w:hAnsi="Cambria Math"/>
                                <w:sz w:val="20"/>
                                <w:szCs w:val="20"/>
                                <w:lang w:val="en-US"/>
                              </w:rPr>
                              <m:t>-1</m:t>
                            </m:r>
                          </m:e>
                        </m:d>
                      </m:e>
                    </m:d>
                  </m:e>
                  <m:sup>
                    <m:r>
                      <w:rPr>
                        <w:rFonts w:ascii="Cambria Math" w:hAnsi="Cambria Math"/>
                        <w:sz w:val="20"/>
                        <w:szCs w:val="20"/>
                      </w:rPr>
                      <m:t>-2</m:t>
                    </m:r>
                  </m:sup>
                </m:sSup>
                <m:sSup>
                  <m:sSupPr>
                    <m:ctrlPr>
                      <w:rPr>
                        <w:rFonts w:ascii="Cambria Math" w:hAnsi="Cambria Math"/>
                        <w:i/>
                        <w:iCs/>
                      </w:rPr>
                    </m:ctrlPr>
                  </m:sSupPr>
                  <m:e>
                    <m:d>
                      <m:dPr>
                        <m:begChr m:val="⟨"/>
                        <m:endChr m:val="⟩"/>
                        <m:ctrlPr>
                          <w:rPr>
                            <w:rFonts w:ascii="Cambria Math" w:hAnsi="Cambria Math"/>
                            <w:i/>
                            <w:iCs/>
                          </w:rPr>
                        </m:ctrlPr>
                      </m:dPr>
                      <m:e>
                        <m:r>
                          <w:rPr>
                            <w:rFonts w:ascii="Cambria Math" w:hAnsi="Cambria Math"/>
                            <w:lang w:val="en-US"/>
                          </w:rPr>
                          <m:t>1-</m:t>
                        </m:r>
                        <m:sSub>
                          <m:sSubPr>
                            <m:ctrlPr>
                              <w:rPr>
                                <w:rFonts w:ascii="Cambria Math" w:hAnsi="Cambria Math"/>
                                <w:i/>
                                <w:iCs/>
                              </w:rPr>
                            </m:ctrlPr>
                          </m:sSubPr>
                          <m:e>
                            <m:r>
                              <w:rPr>
                                <w:rFonts w:ascii="Cambria Math" w:hAnsi="Cambria Math"/>
                              </w:rPr>
                              <m:t>Ref</m:t>
                            </m:r>
                          </m:e>
                          <m:sub>
                            <m:r>
                              <w:rPr>
                                <w:rFonts w:ascii="Cambria Math" w:hAnsi="Cambria Math"/>
                              </w:rPr>
                              <m:t>CM</m:t>
                            </m:r>
                          </m:sub>
                        </m:sSub>
                      </m:e>
                    </m:d>
                  </m:e>
                  <m:sup>
                    <m:r>
                      <w:rPr>
                        <w:rFonts w:ascii="Cambria Math" w:hAnsi="Cambria Math"/>
                        <w:lang w:val="en-US"/>
                      </w:rPr>
                      <m:t>-1</m:t>
                    </m:r>
                  </m:sup>
                </m:sSup>
              </m:oMath>
            </m:oMathPara>
          </w:p>
        </w:tc>
        <w:tc>
          <w:tcPr>
            <w:tcW w:w="845" w:type="dxa"/>
          </w:tcPr>
          <w:p w:rsidR="006C621B" w:rsidRPr="00244779" w:rsidRDefault="006C621B" w:rsidP="001707BA">
            <w:pPr>
              <w:jc w:val="both"/>
              <w:rPr>
                <w:lang w:val="en-US"/>
              </w:rPr>
            </w:pPr>
            <w:r w:rsidRPr="0060584E">
              <w:rPr>
                <w:lang w:val="en-US"/>
              </w:rPr>
              <w:t>(A4)</w:t>
            </w:r>
          </w:p>
        </w:tc>
      </w:tr>
    </w:tbl>
    <w:p w:rsidR="006C621B" w:rsidRDefault="006C621B" w:rsidP="006C621B">
      <w:pPr>
        <w:pBdr>
          <w:top w:val="nil"/>
          <w:left w:val="nil"/>
          <w:bottom w:val="nil"/>
          <w:right w:val="nil"/>
          <w:between w:val="nil"/>
        </w:pBdr>
        <w:spacing w:before="240" w:line="480" w:lineRule="auto"/>
        <w:jc w:val="both"/>
        <w:rPr>
          <w:lang w:val="en-US"/>
        </w:rPr>
      </w:pPr>
      <w:r w:rsidRPr="00107F77">
        <w:rPr>
          <w:lang w:val="en-US"/>
        </w:rPr>
        <w:t xml:space="preserve">The table shows the values of </w:t>
      </w:r>
      <w:r w:rsidRPr="00104F04">
        <w:sym w:font="Symbol" w:char="F071"/>
      </w:r>
      <w:r w:rsidRPr="00107F77">
        <w:rPr>
          <w:vertAlign w:val="subscript"/>
          <w:lang w:val="en-US"/>
        </w:rPr>
        <w:t>CM</w:t>
      </w:r>
      <w:r w:rsidRPr="00107F77">
        <w:rPr>
          <w:lang w:val="en-US"/>
        </w:rPr>
        <w:t xml:space="preserve">, </w:t>
      </w:r>
      <w:proofErr w:type="spellStart"/>
      <w:r w:rsidRPr="00107F77">
        <w:rPr>
          <w:i/>
          <w:iCs/>
          <w:lang w:val="en-US"/>
        </w:rPr>
        <w:t>n</w:t>
      </w:r>
      <w:r w:rsidRPr="00107F77">
        <w:rPr>
          <w:vertAlign w:val="subscript"/>
          <w:lang w:val="en-US"/>
        </w:rPr>
        <w:t>CS</w:t>
      </w:r>
      <w:proofErr w:type="spellEnd"/>
      <w:r w:rsidRPr="00107F77">
        <w:rPr>
          <w:lang w:val="en-US"/>
        </w:rPr>
        <w:t xml:space="preserve"> and </w:t>
      </w:r>
      <w:r w:rsidRPr="00104F04">
        <w:sym w:font="Symbol" w:char="F03C"/>
      </w:r>
      <w:r w:rsidRPr="00107F77">
        <w:rPr>
          <w:lang w:val="en-US"/>
        </w:rPr>
        <w:t>1-Ref</w:t>
      </w:r>
      <w:r w:rsidRPr="00107F77">
        <w:rPr>
          <w:vertAlign w:val="subscript"/>
          <w:lang w:val="en-US"/>
        </w:rPr>
        <w:t>CM</w:t>
      </w:r>
      <w:r w:rsidRPr="00104F04">
        <w:sym w:font="Symbol" w:char="F03E"/>
      </w:r>
      <w:r w:rsidRPr="00107F77">
        <w:rPr>
          <w:lang w:val="en-US"/>
        </w:rPr>
        <w:t xml:space="preserve"> for the </w:t>
      </w:r>
      <w:r>
        <w:rPr>
          <w:rFonts w:eastAsiaTheme="minorEastAsia"/>
          <w:lang w:val="en-US"/>
        </w:rPr>
        <w:t>Sapphire</w:t>
      </w:r>
      <w:r w:rsidRPr="00107F77">
        <w:rPr>
          <w:lang w:val="en-US"/>
        </w:rPr>
        <w:t xml:space="preserve"> and glass slides and air, where </w:t>
      </w:r>
      <w:proofErr w:type="spellStart"/>
      <w:r w:rsidRPr="00107F77">
        <w:rPr>
          <w:i/>
          <w:iCs/>
          <w:lang w:val="en-US"/>
        </w:rPr>
        <w:t>n</w:t>
      </w:r>
      <w:r w:rsidRPr="00107F77">
        <w:rPr>
          <w:vertAlign w:val="subscript"/>
          <w:lang w:val="en-US"/>
        </w:rPr>
        <w:t>CS</w:t>
      </w:r>
      <w:proofErr w:type="spellEnd"/>
      <w:r w:rsidRPr="00107F77">
        <w:rPr>
          <w:lang w:val="en-US"/>
        </w:rPr>
        <w:t xml:space="preserve"> is the classical refractive index for each </w:t>
      </w:r>
      <w:r w:rsidRPr="00107F77">
        <w:rPr>
          <w:i/>
          <w:iCs/>
          <w:lang w:val="en-US"/>
        </w:rPr>
        <w:t>FF</w:t>
      </w:r>
      <w:r w:rsidRPr="00107F77">
        <w:rPr>
          <w:vertAlign w:val="subscript"/>
          <w:lang w:val="en-US"/>
        </w:rPr>
        <w:t>TiO2</w:t>
      </w:r>
      <w:r w:rsidRPr="00107F77">
        <w:rPr>
          <w:lang w:val="en-US"/>
        </w:rPr>
        <w:t xml:space="preserve"> (sample) calculated using the Maxwell-Garnett approximation.</w:t>
      </w:r>
    </w:p>
    <w:p w:rsidR="00CC0F58" w:rsidRPr="00107F77" w:rsidRDefault="00CC0F58" w:rsidP="00CC0F58">
      <w:pPr>
        <w:pStyle w:val="Descripcin"/>
        <w:keepNext/>
        <w:spacing w:before="240" w:after="0"/>
        <w:jc w:val="both"/>
        <w:rPr>
          <w:rFonts w:ascii="Times New Roman" w:hAnsi="Times New Roman" w:cs="Times New Roman"/>
          <w:b w:val="0"/>
          <w:bCs w:val="0"/>
          <w:i/>
          <w:iCs/>
          <w:color w:val="auto"/>
          <w:sz w:val="20"/>
          <w:szCs w:val="20"/>
        </w:rPr>
      </w:pPr>
      <w:r w:rsidRPr="00956367">
        <w:rPr>
          <w:rFonts w:ascii="Times New Roman" w:hAnsi="Times New Roman" w:cs="Times New Roman"/>
          <w:color w:val="auto"/>
          <w:sz w:val="20"/>
          <w:szCs w:val="20"/>
        </w:rPr>
        <w:t>Table S1:</w:t>
      </w:r>
      <w:r w:rsidRPr="00107F77">
        <w:rPr>
          <w:rFonts w:ascii="Times New Roman" w:hAnsi="Times New Roman" w:cs="Times New Roman"/>
          <w:b w:val="0"/>
          <w:bCs w:val="0"/>
          <w:i/>
          <w:iCs/>
          <w:color w:val="auto"/>
          <w:sz w:val="20"/>
          <w:szCs w:val="20"/>
        </w:rPr>
        <w:t xml:space="preserve"> Parameters used for calculations for each FF</w:t>
      </w:r>
      <w:r w:rsidRPr="00107F77">
        <w:rPr>
          <w:rFonts w:ascii="Times New Roman" w:hAnsi="Times New Roman" w:cs="Times New Roman"/>
          <w:b w:val="0"/>
          <w:bCs w:val="0"/>
          <w:i/>
          <w:iCs/>
          <w:color w:val="auto"/>
          <w:sz w:val="20"/>
          <w:szCs w:val="20"/>
          <w:vertAlign w:val="subscript"/>
        </w:rPr>
        <w:t>TiO2</w:t>
      </w:r>
      <w:r w:rsidRPr="00107F77">
        <w:rPr>
          <w:rFonts w:ascii="Times New Roman" w:hAnsi="Times New Roman" w:cs="Times New Roman"/>
          <w:b w:val="0"/>
          <w:bCs w:val="0"/>
          <w:i/>
          <w:iCs/>
          <w:color w:val="auto"/>
          <w:sz w:val="20"/>
          <w:szCs w:val="20"/>
        </w:rPr>
        <w:t>, showing the classic refractive index calculated with Maxwell-Garnett theory (</w:t>
      </w:r>
      <w:proofErr w:type="spellStart"/>
      <w:r w:rsidRPr="00107F77">
        <w:rPr>
          <w:rFonts w:ascii="Times New Roman" w:hAnsi="Times New Roman" w:cs="Times New Roman"/>
          <w:b w:val="0"/>
          <w:bCs w:val="0"/>
          <w:i/>
          <w:iCs/>
          <w:color w:val="auto"/>
          <w:sz w:val="20"/>
          <w:szCs w:val="20"/>
        </w:rPr>
        <w:t>n</w:t>
      </w:r>
      <w:r w:rsidRPr="00107F77">
        <w:rPr>
          <w:rFonts w:ascii="Times New Roman" w:hAnsi="Times New Roman" w:cs="Times New Roman"/>
          <w:b w:val="0"/>
          <w:bCs w:val="0"/>
          <w:i/>
          <w:iCs/>
          <w:color w:val="auto"/>
          <w:sz w:val="20"/>
          <w:szCs w:val="20"/>
          <w:vertAlign w:val="subscript"/>
        </w:rPr>
        <w:t>CS</w:t>
      </w:r>
      <w:proofErr w:type="spellEnd"/>
      <w:r w:rsidRPr="00107F77">
        <w:rPr>
          <w:rFonts w:ascii="Times New Roman" w:hAnsi="Times New Roman" w:cs="Times New Roman"/>
          <w:b w:val="0"/>
          <w:bCs w:val="0"/>
          <w:i/>
          <w:iCs/>
          <w:color w:val="auto"/>
          <w:sz w:val="20"/>
          <w:szCs w:val="20"/>
        </w:rPr>
        <w:t>), the cone angle for each cover slide (</w:t>
      </w:r>
      <w:proofErr w:type="spellStart"/>
      <w:r w:rsidRPr="00107F77">
        <w:rPr>
          <w:rFonts w:ascii="Times New Roman" w:hAnsi="Times New Roman" w:cs="Times New Roman"/>
          <w:b w:val="0"/>
          <w:bCs w:val="0"/>
          <w:i/>
          <w:iCs/>
          <w:color w:val="auto"/>
          <w:sz w:val="20"/>
          <w:szCs w:val="20"/>
        </w:rPr>
        <w:t>θ</w:t>
      </w:r>
      <w:r w:rsidRPr="00107F77">
        <w:rPr>
          <w:rFonts w:ascii="Times New Roman" w:hAnsi="Times New Roman" w:cs="Times New Roman"/>
          <w:b w:val="0"/>
          <w:bCs w:val="0"/>
          <w:i/>
          <w:iCs/>
          <w:color w:val="auto"/>
          <w:sz w:val="20"/>
          <w:szCs w:val="20"/>
          <w:vertAlign w:val="subscript"/>
        </w:rPr>
        <w:t>CM</w:t>
      </w:r>
      <w:proofErr w:type="spellEnd"/>
      <w:r w:rsidRPr="00107F77">
        <w:rPr>
          <w:rFonts w:ascii="Times New Roman" w:hAnsi="Times New Roman" w:cs="Times New Roman"/>
          <w:b w:val="0"/>
          <w:bCs w:val="0"/>
          <w:i/>
          <w:iCs/>
          <w:color w:val="auto"/>
          <w:sz w:val="20"/>
          <w:szCs w:val="20"/>
        </w:rPr>
        <w:t>) and the average reflection coefficient (&lt;1-Ref</w:t>
      </w:r>
      <w:r w:rsidRPr="00107F77">
        <w:rPr>
          <w:rFonts w:ascii="Times New Roman" w:hAnsi="Times New Roman" w:cs="Times New Roman"/>
          <w:b w:val="0"/>
          <w:bCs w:val="0"/>
          <w:i/>
          <w:iCs/>
          <w:color w:val="auto"/>
          <w:sz w:val="20"/>
          <w:szCs w:val="20"/>
          <w:vertAlign w:val="subscript"/>
        </w:rPr>
        <w:t>CM</w:t>
      </w:r>
      <w:r w:rsidRPr="00107F77">
        <w:rPr>
          <w:rFonts w:ascii="Times New Roman" w:hAnsi="Times New Roman" w:cs="Times New Roman"/>
          <w:b w:val="0"/>
          <w:bCs w:val="0"/>
          <w:i/>
          <w:iCs/>
          <w:color w:val="auto"/>
          <w:sz w:val="20"/>
          <w:szCs w:val="20"/>
        </w:rPr>
        <w:t>&gt;).</w:t>
      </w:r>
    </w:p>
    <w:tbl>
      <w:tblPr>
        <w:tblStyle w:val="Tablaconcuadrcula"/>
        <w:tblW w:w="0" w:type="auto"/>
        <w:tblLook w:val="04A0" w:firstRow="1" w:lastRow="0" w:firstColumn="1" w:lastColumn="0" w:noHBand="0" w:noVBand="1"/>
      </w:tblPr>
      <w:tblGrid>
        <w:gridCol w:w="2891"/>
        <w:gridCol w:w="1245"/>
        <w:gridCol w:w="1295"/>
        <w:gridCol w:w="1092"/>
        <w:gridCol w:w="1152"/>
        <w:gridCol w:w="813"/>
      </w:tblGrid>
      <w:tr w:rsidR="00CC0F58" w:rsidRPr="00CC0F58" w:rsidTr="00CC0F58">
        <w:tc>
          <w:tcPr>
            <w:tcW w:w="2891" w:type="dxa"/>
          </w:tcPr>
          <w:p w:rsidR="00CC0F58" w:rsidRPr="00CC0F58" w:rsidRDefault="00CC0F58" w:rsidP="00CC0F58">
            <w:pPr>
              <w:spacing w:after="100" w:afterAutospacing="1"/>
              <w:jc w:val="both"/>
              <w:rPr>
                <w:sz w:val="20"/>
                <w:szCs w:val="20"/>
              </w:rPr>
            </w:pPr>
            <w:r w:rsidRPr="00CC0F58">
              <w:rPr>
                <w:i/>
                <w:iCs/>
                <w:sz w:val="20"/>
                <w:szCs w:val="20"/>
              </w:rPr>
              <w:t>FF</w:t>
            </w:r>
            <w:r w:rsidRPr="00CC0F58">
              <w:rPr>
                <w:sz w:val="20"/>
                <w:szCs w:val="20"/>
                <w:vertAlign w:val="subscript"/>
              </w:rPr>
              <w:t>TiO</w:t>
            </w:r>
            <w:proofErr w:type="gramStart"/>
            <w:r w:rsidRPr="00CC0F58">
              <w:rPr>
                <w:sz w:val="20"/>
                <w:szCs w:val="20"/>
                <w:vertAlign w:val="subscript"/>
              </w:rPr>
              <w:t>2</w:t>
            </w:r>
            <w:r w:rsidRPr="00CC0F58">
              <w:rPr>
                <w:sz w:val="20"/>
                <w:szCs w:val="20"/>
              </w:rPr>
              <w:t>;</w:t>
            </w:r>
            <w:r w:rsidRPr="00CC0F58">
              <w:rPr>
                <w:sz w:val="20"/>
                <w:szCs w:val="20"/>
                <w:vertAlign w:val="subscript"/>
              </w:rPr>
              <w:t xml:space="preserve">  </w:t>
            </w:r>
            <w:r w:rsidRPr="00CC0F58">
              <w:rPr>
                <w:sz w:val="20"/>
                <w:szCs w:val="20"/>
              </w:rPr>
              <w:t>(</w:t>
            </w:r>
            <w:proofErr w:type="gramEnd"/>
            <w:r w:rsidRPr="00CC0F58">
              <w:rPr>
                <w:i/>
                <w:iCs/>
                <w:sz w:val="20"/>
                <w:szCs w:val="20"/>
              </w:rPr>
              <w:t>FF</w:t>
            </w:r>
            <w:r w:rsidRPr="00CC0F58">
              <w:rPr>
                <w:sz w:val="20"/>
                <w:szCs w:val="20"/>
                <w:vertAlign w:val="subscript"/>
              </w:rPr>
              <w:t>SiO2</w:t>
            </w:r>
            <w:r w:rsidRPr="00CC0F58">
              <w:rPr>
                <w:sz w:val="20"/>
                <w:szCs w:val="20"/>
              </w:rPr>
              <w:t>= 0.75 &amp; 1.5 %)</w:t>
            </w:r>
          </w:p>
        </w:tc>
        <w:tc>
          <w:tcPr>
            <w:tcW w:w="1245" w:type="dxa"/>
          </w:tcPr>
          <w:p w:rsidR="00CC0F58" w:rsidRPr="00CC0F58" w:rsidRDefault="00CC0F58" w:rsidP="00CC0F58">
            <w:pPr>
              <w:spacing w:after="100" w:afterAutospacing="1"/>
              <w:jc w:val="both"/>
              <w:rPr>
                <w:sz w:val="20"/>
                <w:szCs w:val="20"/>
              </w:rPr>
            </w:pPr>
            <w:proofErr w:type="spellStart"/>
            <w:r w:rsidRPr="00CC0F58">
              <w:rPr>
                <w:i/>
                <w:iCs/>
                <w:sz w:val="20"/>
                <w:szCs w:val="20"/>
              </w:rPr>
              <w:t>n</w:t>
            </w:r>
            <w:r w:rsidRPr="00CC0F58">
              <w:rPr>
                <w:sz w:val="20"/>
                <w:szCs w:val="20"/>
                <w:vertAlign w:val="subscript"/>
              </w:rPr>
              <w:t>CS</w:t>
            </w:r>
            <w:proofErr w:type="spellEnd"/>
          </w:p>
        </w:tc>
        <w:tc>
          <w:tcPr>
            <w:tcW w:w="1295" w:type="dxa"/>
          </w:tcPr>
          <w:p w:rsidR="00CC0F58" w:rsidRPr="00CC0F58" w:rsidRDefault="00CC0F58" w:rsidP="00CC0F58">
            <w:pPr>
              <w:spacing w:after="100" w:afterAutospacing="1"/>
              <w:jc w:val="both"/>
              <w:rPr>
                <w:sz w:val="20"/>
                <w:szCs w:val="20"/>
              </w:rPr>
            </w:pPr>
          </w:p>
        </w:tc>
        <w:tc>
          <w:tcPr>
            <w:tcW w:w="1092" w:type="dxa"/>
          </w:tcPr>
          <w:p w:rsidR="00CC0F58" w:rsidRPr="00CC0F58" w:rsidRDefault="00CC0F58" w:rsidP="00CC0F58">
            <w:pPr>
              <w:spacing w:after="100" w:afterAutospacing="1"/>
              <w:jc w:val="both"/>
              <w:rPr>
                <w:sz w:val="20"/>
                <w:szCs w:val="20"/>
              </w:rPr>
            </w:pPr>
            <w:proofErr w:type="spellStart"/>
            <w:r w:rsidRPr="00CC0F58">
              <w:rPr>
                <w:rFonts w:eastAsiaTheme="minorEastAsia"/>
                <w:sz w:val="20"/>
                <w:szCs w:val="20"/>
              </w:rPr>
              <w:t>Sapphire</w:t>
            </w:r>
            <w:proofErr w:type="spellEnd"/>
          </w:p>
        </w:tc>
        <w:tc>
          <w:tcPr>
            <w:tcW w:w="1152" w:type="dxa"/>
          </w:tcPr>
          <w:p w:rsidR="00CC0F58" w:rsidRPr="00CC0F58" w:rsidRDefault="00CC0F58" w:rsidP="00CC0F58">
            <w:pPr>
              <w:spacing w:after="100" w:afterAutospacing="1"/>
              <w:jc w:val="both"/>
              <w:rPr>
                <w:sz w:val="20"/>
                <w:szCs w:val="20"/>
              </w:rPr>
            </w:pPr>
            <w:proofErr w:type="spellStart"/>
            <w:r w:rsidRPr="00CC0F58">
              <w:rPr>
                <w:sz w:val="20"/>
                <w:szCs w:val="20"/>
              </w:rPr>
              <w:t>Glass</w:t>
            </w:r>
            <w:proofErr w:type="spellEnd"/>
          </w:p>
        </w:tc>
        <w:tc>
          <w:tcPr>
            <w:tcW w:w="813" w:type="dxa"/>
          </w:tcPr>
          <w:p w:rsidR="00CC0F58" w:rsidRPr="00CC0F58" w:rsidRDefault="00CC0F58" w:rsidP="00CC0F58">
            <w:pPr>
              <w:spacing w:after="100" w:afterAutospacing="1"/>
              <w:jc w:val="both"/>
              <w:rPr>
                <w:sz w:val="20"/>
                <w:szCs w:val="20"/>
              </w:rPr>
            </w:pPr>
            <w:r w:rsidRPr="00CC0F58">
              <w:rPr>
                <w:sz w:val="20"/>
                <w:szCs w:val="20"/>
              </w:rPr>
              <w:t>Air</w:t>
            </w:r>
          </w:p>
        </w:tc>
      </w:tr>
      <w:tr w:rsidR="00CC0F58" w:rsidRPr="00CC0F58" w:rsidTr="00CC0F58">
        <w:tc>
          <w:tcPr>
            <w:tcW w:w="2891" w:type="dxa"/>
          </w:tcPr>
          <w:p w:rsidR="00CC0F58" w:rsidRPr="00CC0F58" w:rsidRDefault="00CC0F58" w:rsidP="00CC0F58">
            <w:pPr>
              <w:spacing w:after="100" w:afterAutospacing="1"/>
              <w:jc w:val="both"/>
              <w:rPr>
                <w:sz w:val="20"/>
                <w:szCs w:val="20"/>
              </w:rPr>
            </w:pPr>
          </w:p>
        </w:tc>
        <w:tc>
          <w:tcPr>
            <w:tcW w:w="1245" w:type="dxa"/>
          </w:tcPr>
          <w:p w:rsidR="00CC0F58" w:rsidRPr="00CC0F58" w:rsidRDefault="00CC0F58" w:rsidP="00CC0F58">
            <w:pPr>
              <w:spacing w:after="100" w:afterAutospacing="1"/>
              <w:jc w:val="both"/>
              <w:rPr>
                <w:sz w:val="20"/>
                <w:szCs w:val="20"/>
              </w:rPr>
            </w:pPr>
          </w:p>
        </w:tc>
        <w:tc>
          <w:tcPr>
            <w:tcW w:w="1295" w:type="dxa"/>
          </w:tcPr>
          <w:p w:rsidR="00CC0F58" w:rsidRPr="00CC0F58" w:rsidRDefault="00CC0F58" w:rsidP="00CC0F58">
            <w:pPr>
              <w:spacing w:after="100" w:afterAutospacing="1"/>
              <w:jc w:val="both"/>
              <w:rPr>
                <w:sz w:val="20"/>
                <w:szCs w:val="20"/>
              </w:rPr>
            </w:pPr>
            <w:r w:rsidRPr="00CC0F58">
              <w:rPr>
                <w:sz w:val="20"/>
                <w:szCs w:val="20"/>
              </w:rPr>
              <w:sym w:font="Symbol" w:char="F071"/>
            </w:r>
            <w:r w:rsidRPr="00CC0F58">
              <w:rPr>
                <w:sz w:val="20"/>
                <w:szCs w:val="20"/>
                <w:vertAlign w:val="subscript"/>
              </w:rPr>
              <w:t>CM</w:t>
            </w:r>
          </w:p>
        </w:tc>
        <w:tc>
          <w:tcPr>
            <w:tcW w:w="1092" w:type="dxa"/>
          </w:tcPr>
          <w:p w:rsidR="00CC0F58" w:rsidRPr="00CC0F58" w:rsidRDefault="00CC0F58" w:rsidP="00CC0F58">
            <w:pPr>
              <w:spacing w:after="100" w:afterAutospacing="1"/>
              <w:jc w:val="both"/>
              <w:rPr>
                <w:sz w:val="20"/>
                <w:szCs w:val="20"/>
              </w:rPr>
            </w:pPr>
            <w:r w:rsidRPr="00CC0F58">
              <w:rPr>
                <w:sz w:val="20"/>
                <w:szCs w:val="20"/>
              </w:rPr>
              <w:t>18º</w:t>
            </w:r>
          </w:p>
        </w:tc>
        <w:tc>
          <w:tcPr>
            <w:tcW w:w="1152" w:type="dxa"/>
          </w:tcPr>
          <w:p w:rsidR="00CC0F58" w:rsidRPr="00CC0F58" w:rsidRDefault="00CC0F58" w:rsidP="00CC0F58">
            <w:pPr>
              <w:spacing w:after="100" w:afterAutospacing="1"/>
              <w:jc w:val="both"/>
              <w:rPr>
                <w:sz w:val="20"/>
                <w:szCs w:val="20"/>
              </w:rPr>
            </w:pPr>
            <w:r w:rsidRPr="00CC0F58">
              <w:rPr>
                <w:sz w:val="20"/>
                <w:szCs w:val="20"/>
              </w:rPr>
              <w:t>21.2º</w:t>
            </w:r>
          </w:p>
        </w:tc>
        <w:tc>
          <w:tcPr>
            <w:tcW w:w="813" w:type="dxa"/>
          </w:tcPr>
          <w:p w:rsidR="00CC0F58" w:rsidRPr="00CC0F58" w:rsidRDefault="00CC0F58" w:rsidP="00CC0F58">
            <w:pPr>
              <w:spacing w:after="100" w:afterAutospacing="1"/>
              <w:jc w:val="both"/>
              <w:rPr>
                <w:sz w:val="20"/>
                <w:szCs w:val="20"/>
              </w:rPr>
            </w:pPr>
            <w:r w:rsidRPr="00CC0F58">
              <w:rPr>
                <w:sz w:val="20"/>
                <w:szCs w:val="20"/>
              </w:rPr>
              <w:t>33.4º</w:t>
            </w:r>
          </w:p>
        </w:tc>
      </w:tr>
      <w:tr w:rsidR="00CC0F58" w:rsidRPr="00CC0F58" w:rsidTr="00CC0F58">
        <w:tc>
          <w:tcPr>
            <w:tcW w:w="2891" w:type="dxa"/>
          </w:tcPr>
          <w:p w:rsidR="00CC0F58" w:rsidRPr="00CC0F58" w:rsidRDefault="00CC0F58" w:rsidP="00CC0F58">
            <w:pPr>
              <w:spacing w:after="100" w:afterAutospacing="1"/>
              <w:jc w:val="both"/>
              <w:rPr>
                <w:sz w:val="20"/>
                <w:szCs w:val="20"/>
              </w:rPr>
            </w:pPr>
            <w:r w:rsidRPr="00CC0F58">
              <w:rPr>
                <w:sz w:val="20"/>
                <w:szCs w:val="20"/>
              </w:rPr>
              <w:t>0,26%</w:t>
            </w:r>
          </w:p>
        </w:tc>
        <w:tc>
          <w:tcPr>
            <w:tcW w:w="1245" w:type="dxa"/>
          </w:tcPr>
          <w:p w:rsidR="00CC0F58" w:rsidRPr="00CC0F58" w:rsidRDefault="00CC0F58" w:rsidP="00CC0F58">
            <w:pPr>
              <w:spacing w:after="100" w:afterAutospacing="1"/>
              <w:jc w:val="both"/>
              <w:rPr>
                <w:sz w:val="20"/>
                <w:szCs w:val="20"/>
              </w:rPr>
            </w:pPr>
            <w:r w:rsidRPr="00CC0F58">
              <w:rPr>
                <w:sz w:val="20"/>
                <w:szCs w:val="20"/>
              </w:rPr>
              <w:t>1.37</w:t>
            </w:r>
          </w:p>
        </w:tc>
        <w:tc>
          <w:tcPr>
            <w:tcW w:w="1295" w:type="dxa"/>
          </w:tcPr>
          <w:p w:rsidR="00CC0F58" w:rsidRPr="00CC0F58" w:rsidRDefault="00CC0F58" w:rsidP="00CC0F58">
            <w:pPr>
              <w:spacing w:after="100" w:afterAutospacing="1"/>
              <w:jc w:val="both"/>
              <w:rPr>
                <w:sz w:val="20"/>
                <w:szCs w:val="20"/>
              </w:rPr>
            </w:pPr>
            <w:r w:rsidRPr="00CC0F58">
              <w:rPr>
                <w:sz w:val="20"/>
                <w:szCs w:val="20"/>
              </w:rPr>
              <w:sym w:font="Symbol" w:char="F03C"/>
            </w:r>
            <w:r w:rsidRPr="00CC0F58">
              <w:rPr>
                <w:sz w:val="20"/>
                <w:szCs w:val="20"/>
              </w:rPr>
              <w:t>1-Ref</w:t>
            </w:r>
            <w:r w:rsidRPr="00CC0F58">
              <w:rPr>
                <w:sz w:val="20"/>
                <w:szCs w:val="20"/>
                <w:vertAlign w:val="subscript"/>
              </w:rPr>
              <w:t>CM</w:t>
            </w:r>
            <w:r w:rsidRPr="00CC0F58">
              <w:rPr>
                <w:sz w:val="20"/>
                <w:szCs w:val="20"/>
              </w:rPr>
              <w:sym w:font="Symbol" w:char="F03E"/>
            </w:r>
            <w:r w:rsidRPr="00CC0F58">
              <w:rPr>
                <w:sz w:val="20"/>
                <w:szCs w:val="20"/>
              </w:rPr>
              <w:t xml:space="preserve"> </w:t>
            </w:r>
          </w:p>
        </w:tc>
        <w:tc>
          <w:tcPr>
            <w:tcW w:w="1092" w:type="dxa"/>
          </w:tcPr>
          <w:p w:rsidR="00CC0F58" w:rsidRPr="00CC0F58" w:rsidRDefault="00CC0F58" w:rsidP="00CC0F58">
            <w:pPr>
              <w:spacing w:after="100" w:afterAutospacing="1"/>
              <w:jc w:val="both"/>
              <w:rPr>
                <w:sz w:val="20"/>
                <w:szCs w:val="20"/>
              </w:rPr>
            </w:pPr>
            <w:r w:rsidRPr="00CC0F58">
              <w:rPr>
                <w:sz w:val="20"/>
                <w:szCs w:val="20"/>
              </w:rPr>
              <w:t>0.825</w:t>
            </w:r>
          </w:p>
        </w:tc>
        <w:tc>
          <w:tcPr>
            <w:tcW w:w="1152" w:type="dxa"/>
          </w:tcPr>
          <w:p w:rsidR="00CC0F58" w:rsidRPr="00CC0F58" w:rsidRDefault="00CC0F58" w:rsidP="00CC0F58">
            <w:pPr>
              <w:spacing w:after="100" w:afterAutospacing="1"/>
              <w:jc w:val="both"/>
              <w:rPr>
                <w:sz w:val="20"/>
                <w:szCs w:val="20"/>
              </w:rPr>
            </w:pPr>
            <w:r w:rsidRPr="00CC0F58">
              <w:rPr>
                <w:sz w:val="20"/>
                <w:szCs w:val="20"/>
              </w:rPr>
              <w:t>0.908</w:t>
            </w:r>
          </w:p>
        </w:tc>
        <w:tc>
          <w:tcPr>
            <w:tcW w:w="813" w:type="dxa"/>
          </w:tcPr>
          <w:p w:rsidR="00CC0F58" w:rsidRPr="00CC0F58" w:rsidRDefault="00CC0F58" w:rsidP="00CC0F58">
            <w:pPr>
              <w:spacing w:after="100" w:afterAutospacing="1"/>
              <w:jc w:val="both"/>
              <w:rPr>
                <w:sz w:val="20"/>
                <w:szCs w:val="20"/>
              </w:rPr>
            </w:pPr>
            <w:r w:rsidRPr="00CC0F58">
              <w:rPr>
                <w:sz w:val="20"/>
                <w:szCs w:val="20"/>
              </w:rPr>
              <w:t>0.976</w:t>
            </w:r>
          </w:p>
        </w:tc>
      </w:tr>
      <w:tr w:rsidR="00CC0F58" w:rsidRPr="00CC0F58" w:rsidTr="00CC0F58">
        <w:tc>
          <w:tcPr>
            <w:tcW w:w="2891" w:type="dxa"/>
          </w:tcPr>
          <w:p w:rsidR="00CC0F58" w:rsidRPr="00CC0F58" w:rsidRDefault="00CC0F58" w:rsidP="00CC0F58">
            <w:pPr>
              <w:spacing w:after="100" w:afterAutospacing="1"/>
              <w:jc w:val="both"/>
              <w:rPr>
                <w:sz w:val="20"/>
                <w:szCs w:val="20"/>
              </w:rPr>
            </w:pPr>
            <w:r w:rsidRPr="00CC0F58">
              <w:rPr>
                <w:sz w:val="20"/>
                <w:szCs w:val="20"/>
              </w:rPr>
              <w:t>0,54%</w:t>
            </w:r>
          </w:p>
        </w:tc>
        <w:tc>
          <w:tcPr>
            <w:tcW w:w="1245" w:type="dxa"/>
          </w:tcPr>
          <w:p w:rsidR="00CC0F58" w:rsidRPr="00CC0F58" w:rsidRDefault="00CC0F58" w:rsidP="00CC0F58">
            <w:pPr>
              <w:spacing w:after="100" w:afterAutospacing="1"/>
              <w:jc w:val="both"/>
              <w:rPr>
                <w:sz w:val="20"/>
                <w:szCs w:val="20"/>
              </w:rPr>
            </w:pPr>
            <w:r w:rsidRPr="00CC0F58">
              <w:rPr>
                <w:sz w:val="20"/>
                <w:szCs w:val="20"/>
              </w:rPr>
              <w:t>1.38</w:t>
            </w:r>
          </w:p>
        </w:tc>
        <w:tc>
          <w:tcPr>
            <w:tcW w:w="1295" w:type="dxa"/>
          </w:tcPr>
          <w:p w:rsidR="00CC0F58" w:rsidRPr="00CC0F58" w:rsidRDefault="00CC0F58" w:rsidP="00CC0F58">
            <w:pPr>
              <w:spacing w:after="100" w:afterAutospacing="1"/>
              <w:jc w:val="both"/>
              <w:rPr>
                <w:sz w:val="20"/>
                <w:szCs w:val="20"/>
              </w:rPr>
            </w:pPr>
            <w:r w:rsidRPr="00CC0F58">
              <w:rPr>
                <w:sz w:val="20"/>
                <w:szCs w:val="20"/>
              </w:rPr>
              <w:sym w:font="Symbol" w:char="F03C"/>
            </w:r>
            <w:r w:rsidRPr="00CC0F58">
              <w:rPr>
                <w:sz w:val="20"/>
                <w:szCs w:val="20"/>
              </w:rPr>
              <w:t>1-Ref</w:t>
            </w:r>
            <w:r w:rsidRPr="00CC0F58">
              <w:rPr>
                <w:sz w:val="20"/>
                <w:szCs w:val="20"/>
                <w:vertAlign w:val="subscript"/>
              </w:rPr>
              <w:t>CM</w:t>
            </w:r>
            <w:r w:rsidRPr="00CC0F58">
              <w:rPr>
                <w:sz w:val="20"/>
                <w:szCs w:val="20"/>
              </w:rPr>
              <w:sym w:font="Symbol" w:char="F03E"/>
            </w:r>
            <w:r w:rsidRPr="00CC0F58">
              <w:rPr>
                <w:sz w:val="20"/>
                <w:szCs w:val="20"/>
              </w:rPr>
              <w:t xml:space="preserve"> </w:t>
            </w:r>
          </w:p>
        </w:tc>
        <w:tc>
          <w:tcPr>
            <w:tcW w:w="1092" w:type="dxa"/>
          </w:tcPr>
          <w:p w:rsidR="00CC0F58" w:rsidRPr="00CC0F58" w:rsidRDefault="00CC0F58" w:rsidP="00CC0F58">
            <w:pPr>
              <w:spacing w:after="100" w:afterAutospacing="1"/>
              <w:jc w:val="both"/>
              <w:rPr>
                <w:sz w:val="20"/>
                <w:szCs w:val="20"/>
              </w:rPr>
            </w:pPr>
            <w:r w:rsidRPr="00CC0F58">
              <w:rPr>
                <w:sz w:val="20"/>
                <w:szCs w:val="20"/>
              </w:rPr>
              <w:t>0.826</w:t>
            </w:r>
          </w:p>
        </w:tc>
        <w:tc>
          <w:tcPr>
            <w:tcW w:w="1152" w:type="dxa"/>
          </w:tcPr>
          <w:p w:rsidR="00CC0F58" w:rsidRPr="00CC0F58" w:rsidRDefault="00CC0F58" w:rsidP="00CC0F58">
            <w:pPr>
              <w:spacing w:after="100" w:afterAutospacing="1"/>
              <w:jc w:val="both"/>
              <w:rPr>
                <w:sz w:val="20"/>
                <w:szCs w:val="20"/>
              </w:rPr>
            </w:pPr>
            <w:r w:rsidRPr="00CC0F58">
              <w:rPr>
                <w:sz w:val="20"/>
                <w:szCs w:val="20"/>
              </w:rPr>
              <w:t>0.908</w:t>
            </w:r>
          </w:p>
        </w:tc>
        <w:tc>
          <w:tcPr>
            <w:tcW w:w="813" w:type="dxa"/>
          </w:tcPr>
          <w:p w:rsidR="00CC0F58" w:rsidRPr="00CC0F58" w:rsidRDefault="00CC0F58" w:rsidP="00CC0F58">
            <w:pPr>
              <w:spacing w:after="100" w:afterAutospacing="1"/>
              <w:jc w:val="both"/>
              <w:rPr>
                <w:sz w:val="20"/>
                <w:szCs w:val="20"/>
              </w:rPr>
            </w:pPr>
            <w:r w:rsidRPr="00CC0F58">
              <w:rPr>
                <w:sz w:val="20"/>
                <w:szCs w:val="20"/>
              </w:rPr>
              <w:t>0.976</w:t>
            </w:r>
          </w:p>
        </w:tc>
      </w:tr>
      <w:tr w:rsidR="00CC0F58" w:rsidRPr="00CC0F58" w:rsidTr="00CC0F58">
        <w:tc>
          <w:tcPr>
            <w:tcW w:w="2891" w:type="dxa"/>
          </w:tcPr>
          <w:p w:rsidR="00CC0F58" w:rsidRPr="00CC0F58" w:rsidRDefault="00CC0F58" w:rsidP="00CC0F58">
            <w:pPr>
              <w:spacing w:after="100" w:afterAutospacing="1"/>
              <w:jc w:val="both"/>
              <w:rPr>
                <w:sz w:val="20"/>
                <w:szCs w:val="20"/>
              </w:rPr>
            </w:pPr>
            <w:r w:rsidRPr="00CC0F58">
              <w:rPr>
                <w:sz w:val="20"/>
                <w:szCs w:val="20"/>
              </w:rPr>
              <w:t>1,35%</w:t>
            </w:r>
          </w:p>
        </w:tc>
        <w:tc>
          <w:tcPr>
            <w:tcW w:w="1245" w:type="dxa"/>
          </w:tcPr>
          <w:p w:rsidR="00CC0F58" w:rsidRPr="00CC0F58" w:rsidRDefault="00CC0F58" w:rsidP="00CC0F58">
            <w:pPr>
              <w:spacing w:after="100" w:afterAutospacing="1"/>
              <w:jc w:val="both"/>
              <w:rPr>
                <w:sz w:val="20"/>
                <w:szCs w:val="20"/>
              </w:rPr>
            </w:pPr>
            <w:r w:rsidRPr="00CC0F58">
              <w:rPr>
                <w:sz w:val="20"/>
                <w:szCs w:val="20"/>
              </w:rPr>
              <w:t>1.4</w:t>
            </w:r>
          </w:p>
        </w:tc>
        <w:tc>
          <w:tcPr>
            <w:tcW w:w="1295" w:type="dxa"/>
          </w:tcPr>
          <w:p w:rsidR="00CC0F58" w:rsidRPr="00CC0F58" w:rsidRDefault="00CC0F58" w:rsidP="00CC0F58">
            <w:pPr>
              <w:spacing w:after="100" w:afterAutospacing="1"/>
              <w:jc w:val="both"/>
              <w:rPr>
                <w:sz w:val="20"/>
                <w:szCs w:val="20"/>
              </w:rPr>
            </w:pPr>
            <w:r w:rsidRPr="00CC0F58">
              <w:rPr>
                <w:sz w:val="20"/>
                <w:szCs w:val="20"/>
              </w:rPr>
              <w:sym w:font="Symbol" w:char="F03C"/>
            </w:r>
            <w:r w:rsidRPr="00CC0F58">
              <w:rPr>
                <w:sz w:val="20"/>
                <w:szCs w:val="20"/>
              </w:rPr>
              <w:t>1-Ref</w:t>
            </w:r>
            <w:r w:rsidRPr="00CC0F58">
              <w:rPr>
                <w:sz w:val="20"/>
                <w:szCs w:val="20"/>
                <w:vertAlign w:val="subscript"/>
              </w:rPr>
              <w:t>CM</w:t>
            </w:r>
            <w:r w:rsidRPr="00CC0F58">
              <w:rPr>
                <w:sz w:val="20"/>
                <w:szCs w:val="20"/>
              </w:rPr>
              <w:sym w:font="Symbol" w:char="F03E"/>
            </w:r>
            <w:r w:rsidRPr="00CC0F58">
              <w:rPr>
                <w:sz w:val="20"/>
                <w:szCs w:val="20"/>
              </w:rPr>
              <w:t xml:space="preserve"> </w:t>
            </w:r>
          </w:p>
        </w:tc>
        <w:tc>
          <w:tcPr>
            <w:tcW w:w="1092" w:type="dxa"/>
          </w:tcPr>
          <w:p w:rsidR="00CC0F58" w:rsidRPr="00CC0F58" w:rsidRDefault="00CC0F58" w:rsidP="00CC0F58">
            <w:pPr>
              <w:spacing w:after="100" w:afterAutospacing="1"/>
              <w:jc w:val="both"/>
              <w:rPr>
                <w:sz w:val="20"/>
                <w:szCs w:val="20"/>
              </w:rPr>
            </w:pPr>
            <w:r w:rsidRPr="00CC0F58">
              <w:rPr>
                <w:sz w:val="20"/>
                <w:szCs w:val="20"/>
              </w:rPr>
              <w:t>0.828</w:t>
            </w:r>
          </w:p>
        </w:tc>
        <w:tc>
          <w:tcPr>
            <w:tcW w:w="1152" w:type="dxa"/>
          </w:tcPr>
          <w:p w:rsidR="00CC0F58" w:rsidRPr="00CC0F58" w:rsidRDefault="00CC0F58" w:rsidP="00CC0F58">
            <w:pPr>
              <w:spacing w:after="100" w:afterAutospacing="1"/>
              <w:jc w:val="both"/>
              <w:rPr>
                <w:sz w:val="20"/>
                <w:szCs w:val="20"/>
              </w:rPr>
            </w:pPr>
            <w:r w:rsidRPr="00CC0F58">
              <w:rPr>
                <w:sz w:val="20"/>
                <w:szCs w:val="20"/>
              </w:rPr>
              <w:t>0.909</w:t>
            </w:r>
          </w:p>
        </w:tc>
        <w:tc>
          <w:tcPr>
            <w:tcW w:w="813" w:type="dxa"/>
          </w:tcPr>
          <w:p w:rsidR="00CC0F58" w:rsidRPr="00CC0F58" w:rsidRDefault="00CC0F58" w:rsidP="00CC0F58">
            <w:pPr>
              <w:spacing w:after="100" w:afterAutospacing="1"/>
              <w:jc w:val="both"/>
              <w:rPr>
                <w:sz w:val="20"/>
                <w:szCs w:val="20"/>
              </w:rPr>
            </w:pPr>
            <w:r w:rsidRPr="00CC0F58">
              <w:rPr>
                <w:sz w:val="20"/>
                <w:szCs w:val="20"/>
              </w:rPr>
              <w:t>0.973</w:t>
            </w:r>
          </w:p>
        </w:tc>
      </w:tr>
      <w:tr w:rsidR="00CC0F58" w:rsidRPr="00CC0F58" w:rsidTr="00CC0F58">
        <w:tc>
          <w:tcPr>
            <w:tcW w:w="2891" w:type="dxa"/>
          </w:tcPr>
          <w:p w:rsidR="00CC0F58" w:rsidRPr="00CC0F58" w:rsidRDefault="00CC0F58" w:rsidP="00CC0F58">
            <w:pPr>
              <w:spacing w:after="100" w:afterAutospacing="1"/>
              <w:jc w:val="both"/>
              <w:rPr>
                <w:sz w:val="20"/>
                <w:szCs w:val="20"/>
              </w:rPr>
            </w:pPr>
            <w:r w:rsidRPr="00CC0F58">
              <w:rPr>
                <w:sz w:val="20"/>
                <w:szCs w:val="20"/>
              </w:rPr>
              <w:t>4,8%</w:t>
            </w:r>
          </w:p>
        </w:tc>
        <w:tc>
          <w:tcPr>
            <w:tcW w:w="1245" w:type="dxa"/>
          </w:tcPr>
          <w:p w:rsidR="00CC0F58" w:rsidRPr="00CC0F58" w:rsidRDefault="00CC0F58" w:rsidP="00CC0F58">
            <w:pPr>
              <w:spacing w:after="100" w:afterAutospacing="1"/>
              <w:jc w:val="both"/>
              <w:rPr>
                <w:sz w:val="20"/>
                <w:szCs w:val="20"/>
              </w:rPr>
            </w:pPr>
            <w:r w:rsidRPr="00CC0F58">
              <w:rPr>
                <w:sz w:val="20"/>
                <w:szCs w:val="20"/>
              </w:rPr>
              <w:t>1.44</w:t>
            </w:r>
          </w:p>
        </w:tc>
        <w:tc>
          <w:tcPr>
            <w:tcW w:w="1295" w:type="dxa"/>
          </w:tcPr>
          <w:p w:rsidR="00CC0F58" w:rsidRPr="00CC0F58" w:rsidRDefault="00CC0F58" w:rsidP="00CC0F58">
            <w:pPr>
              <w:spacing w:after="100" w:afterAutospacing="1"/>
              <w:jc w:val="both"/>
              <w:rPr>
                <w:sz w:val="20"/>
                <w:szCs w:val="20"/>
              </w:rPr>
            </w:pPr>
            <w:r w:rsidRPr="00CC0F58">
              <w:rPr>
                <w:sz w:val="20"/>
                <w:szCs w:val="20"/>
              </w:rPr>
              <w:sym w:font="Symbol" w:char="F03C"/>
            </w:r>
            <w:r w:rsidRPr="00CC0F58">
              <w:rPr>
                <w:sz w:val="20"/>
                <w:szCs w:val="20"/>
              </w:rPr>
              <w:t>1-Ref</w:t>
            </w:r>
            <w:r w:rsidRPr="00CC0F58">
              <w:rPr>
                <w:sz w:val="20"/>
                <w:szCs w:val="20"/>
                <w:vertAlign w:val="subscript"/>
              </w:rPr>
              <w:t>CM</w:t>
            </w:r>
            <w:r w:rsidRPr="00CC0F58">
              <w:rPr>
                <w:sz w:val="20"/>
                <w:szCs w:val="20"/>
              </w:rPr>
              <w:sym w:font="Symbol" w:char="F03E"/>
            </w:r>
            <w:r w:rsidRPr="00CC0F58">
              <w:rPr>
                <w:sz w:val="20"/>
                <w:szCs w:val="20"/>
              </w:rPr>
              <w:t xml:space="preserve"> </w:t>
            </w:r>
          </w:p>
        </w:tc>
        <w:tc>
          <w:tcPr>
            <w:tcW w:w="1092" w:type="dxa"/>
          </w:tcPr>
          <w:p w:rsidR="00CC0F58" w:rsidRPr="00CC0F58" w:rsidRDefault="00CC0F58" w:rsidP="00CC0F58">
            <w:pPr>
              <w:spacing w:after="100" w:afterAutospacing="1"/>
              <w:jc w:val="both"/>
              <w:rPr>
                <w:sz w:val="20"/>
                <w:szCs w:val="20"/>
              </w:rPr>
            </w:pPr>
            <w:r w:rsidRPr="00CC0F58">
              <w:rPr>
                <w:sz w:val="20"/>
                <w:szCs w:val="20"/>
              </w:rPr>
              <w:t>0.832</w:t>
            </w:r>
          </w:p>
        </w:tc>
        <w:tc>
          <w:tcPr>
            <w:tcW w:w="1152" w:type="dxa"/>
          </w:tcPr>
          <w:p w:rsidR="00CC0F58" w:rsidRPr="00CC0F58" w:rsidRDefault="00CC0F58" w:rsidP="00CC0F58">
            <w:pPr>
              <w:spacing w:after="100" w:afterAutospacing="1"/>
              <w:jc w:val="both"/>
              <w:rPr>
                <w:sz w:val="20"/>
                <w:szCs w:val="20"/>
              </w:rPr>
            </w:pPr>
            <w:r w:rsidRPr="00CC0F58">
              <w:rPr>
                <w:sz w:val="20"/>
                <w:szCs w:val="20"/>
              </w:rPr>
              <w:t>0.91</w:t>
            </w:r>
          </w:p>
        </w:tc>
        <w:tc>
          <w:tcPr>
            <w:tcW w:w="813" w:type="dxa"/>
          </w:tcPr>
          <w:p w:rsidR="00CC0F58" w:rsidRPr="00CC0F58" w:rsidRDefault="00CC0F58" w:rsidP="00CC0F58">
            <w:pPr>
              <w:spacing w:after="100" w:afterAutospacing="1"/>
              <w:jc w:val="both"/>
              <w:rPr>
                <w:sz w:val="20"/>
                <w:szCs w:val="20"/>
              </w:rPr>
            </w:pPr>
            <w:r w:rsidRPr="00CC0F58">
              <w:rPr>
                <w:sz w:val="20"/>
                <w:szCs w:val="20"/>
              </w:rPr>
              <w:t>0.967</w:t>
            </w:r>
          </w:p>
        </w:tc>
      </w:tr>
      <w:tr w:rsidR="00CC0F58" w:rsidRPr="00CC0F58" w:rsidTr="00CC0F58">
        <w:tc>
          <w:tcPr>
            <w:tcW w:w="2891" w:type="dxa"/>
          </w:tcPr>
          <w:p w:rsidR="00CC0F58" w:rsidRPr="00CC0F58" w:rsidRDefault="00CC0F58" w:rsidP="00CC0F58">
            <w:pPr>
              <w:spacing w:after="100" w:afterAutospacing="1"/>
              <w:jc w:val="both"/>
              <w:rPr>
                <w:sz w:val="20"/>
                <w:szCs w:val="20"/>
              </w:rPr>
            </w:pPr>
            <w:r w:rsidRPr="00CC0F58">
              <w:rPr>
                <w:sz w:val="20"/>
                <w:szCs w:val="20"/>
              </w:rPr>
              <w:t>8,8%</w:t>
            </w:r>
          </w:p>
        </w:tc>
        <w:tc>
          <w:tcPr>
            <w:tcW w:w="1245" w:type="dxa"/>
          </w:tcPr>
          <w:p w:rsidR="00CC0F58" w:rsidRPr="00CC0F58" w:rsidRDefault="00CC0F58" w:rsidP="00CC0F58">
            <w:pPr>
              <w:spacing w:after="100" w:afterAutospacing="1"/>
              <w:jc w:val="both"/>
              <w:rPr>
                <w:sz w:val="20"/>
                <w:szCs w:val="20"/>
              </w:rPr>
            </w:pPr>
            <w:r w:rsidRPr="00CC0F58">
              <w:rPr>
                <w:sz w:val="20"/>
                <w:szCs w:val="20"/>
              </w:rPr>
              <w:t>1.49</w:t>
            </w:r>
          </w:p>
        </w:tc>
        <w:tc>
          <w:tcPr>
            <w:tcW w:w="1295" w:type="dxa"/>
          </w:tcPr>
          <w:p w:rsidR="00CC0F58" w:rsidRPr="00CC0F58" w:rsidRDefault="00CC0F58" w:rsidP="00CC0F58">
            <w:pPr>
              <w:spacing w:after="100" w:afterAutospacing="1"/>
              <w:jc w:val="both"/>
              <w:rPr>
                <w:sz w:val="20"/>
                <w:szCs w:val="20"/>
              </w:rPr>
            </w:pPr>
            <w:r w:rsidRPr="00CC0F58">
              <w:rPr>
                <w:sz w:val="20"/>
                <w:szCs w:val="20"/>
              </w:rPr>
              <w:sym w:font="Symbol" w:char="F03C"/>
            </w:r>
            <w:r w:rsidRPr="00CC0F58">
              <w:rPr>
                <w:sz w:val="20"/>
                <w:szCs w:val="20"/>
              </w:rPr>
              <w:t>1-Ref</w:t>
            </w:r>
            <w:r w:rsidRPr="00CC0F58">
              <w:rPr>
                <w:sz w:val="20"/>
                <w:szCs w:val="20"/>
                <w:vertAlign w:val="subscript"/>
              </w:rPr>
              <w:t>CM</w:t>
            </w:r>
            <w:r w:rsidRPr="00CC0F58">
              <w:rPr>
                <w:sz w:val="20"/>
                <w:szCs w:val="20"/>
              </w:rPr>
              <w:sym w:font="Symbol" w:char="F03E"/>
            </w:r>
            <w:r w:rsidRPr="00CC0F58">
              <w:rPr>
                <w:sz w:val="20"/>
                <w:szCs w:val="20"/>
              </w:rPr>
              <w:t xml:space="preserve"> </w:t>
            </w:r>
          </w:p>
        </w:tc>
        <w:tc>
          <w:tcPr>
            <w:tcW w:w="1092" w:type="dxa"/>
          </w:tcPr>
          <w:p w:rsidR="00CC0F58" w:rsidRPr="00CC0F58" w:rsidRDefault="00CC0F58" w:rsidP="00CC0F58">
            <w:pPr>
              <w:spacing w:after="100" w:afterAutospacing="1"/>
              <w:jc w:val="both"/>
              <w:rPr>
                <w:sz w:val="20"/>
                <w:szCs w:val="20"/>
              </w:rPr>
            </w:pPr>
            <w:r w:rsidRPr="00CC0F58">
              <w:rPr>
                <w:sz w:val="20"/>
                <w:szCs w:val="20"/>
              </w:rPr>
              <w:t>0.835</w:t>
            </w:r>
          </w:p>
        </w:tc>
        <w:tc>
          <w:tcPr>
            <w:tcW w:w="1152" w:type="dxa"/>
          </w:tcPr>
          <w:p w:rsidR="00CC0F58" w:rsidRPr="00CC0F58" w:rsidRDefault="00CC0F58" w:rsidP="00CC0F58">
            <w:pPr>
              <w:spacing w:after="100" w:afterAutospacing="1"/>
              <w:jc w:val="both"/>
              <w:rPr>
                <w:sz w:val="20"/>
                <w:szCs w:val="20"/>
              </w:rPr>
            </w:pPr>
            <w:r w:rsidRPr="00CC0F58">
              <w:rPr>
                <w:sz w:val="20"/>
                <w:szCs w:val="20"/>
              </w:rPr>
              <w:t>0.908</w:t>
            </w:r>
          </w:p>
        </w:tc>
        <w:tc>
          <w:tcPr>
            <w:tcW w:w="813" w:type="dxa"/>
          </w:tcPr>
          <w:p w:rsidR="00CC0F58" w:rsidRPr="00CC0F58" w:rsidRDefault="00CC0F58" w:rsidP="00CC0F58">
            <w:pPr>
              <w:spacing w:after="100" w:afterAutospacing="1"/>
              <w:jc w:val="both"/>
              <w:rPr>
                <w:sz w:val="20"/>
                <w:szCs w:val="20"/>
              </w:rPr>
            </w:pPr>
            <w:r w:rsidRPr="00CC0F58">
              <w:rPr>
                <w:sz w:val="20"/>
                <w:szCs w:val="20"/>
              </w:rPr>
              <w:t>0.96</w:t>
            </w:r>
          </w:p>
        </w:tc>
      </w:tr>
      <w:tr w:rsidR="00CC0F58" w:rsidRPr="00CC0F58" w:rsidTr="00CC0F58">
        <w:tc>
          <w:tcPr>
            <w:tcW w:w="2891" w:type="dxa"/>
          </w:tcPr>
          <w:p w:rsidR="00CC0F58" w:rsidRPr="00CC0F58" w:rsidRDefault="00CC0F58" w:rsidP="00CC0F58">
            <w:pPr>
              <w:spacing w:after="100" w:afterAutospacing="1"/>
              <w:jc w:val="both"/>
              <w:rPr>
                <w:sz w:val="20"/>
                <w:szCs w:val="20"/>
              </w:rPr>
            </w:pPr>
            <w:r w:rsidRPr="00CC0F58">
              <w:rPr>
                <w:sz w:val="20"/>
                <w:szCs w:val="20"/>
              </w:rPr>
              <w:t>12,1%</w:t>
            </w:r>
          </w:p>
        </w:tc>
        <w:tc>
          <w:tcPr>
            <w:tcW w:w="1245" w:type="dxa"/>
          </w:tcPr>
          <w:p w:rsidR="00CC0F58" w:rsidRPr="00CC0F58" w:rsidRDefault="00CC0F58" w:rsidP="00CC0F58">
            <w:pPr>
              <w:spacing w:after="100" w:afterAutospacing="1"/>
              <w:jc w:val="both"/>
              <w:rPr>
                <w:sz w:val="20"/>
                <w:szCs w:val="20"/>
              </w:rPr>
            </w:pPr>
            <w:r w:rsidRPr="00CC0F58">
              <w:rPr>
                <w:sz w:val="20"/>
                <w:szCs w:val="20"/>
              </w:rPr>
              <w:t>1.54</w:t>
            </w:r>
          </w:p>
        </w:tc>
        <w:tc>
          <w:tcPr>
            <w:tcW w:w="1295" w:type="dxa"/>
          </w:tcPr>
          <w:p w:rsidR="00CC0F58" w:rsidRPr="00CC0F58" w:rsidRDefault="00CC0F58" w:rsidP="00CC0F58">
            <w:pPr>
              <w:spacing w:after="100" w:afterAutospacing="1"/>
              <w:jc w:val="both"/>
              <w:rPr>
                <w:sz w:val="20"/>
                <w:szCs w:val="20"/>
              </w:rPr>
            </w:pPr>
            <w:r w:rsidRPr="00CC0F58">
              <w:rPr>
                <w:sz w:val="20"/>
                <w:szCs w:val="20"/>
              </w:rPr>
              <w:sym w:font="Symbol" w:char="F03C"/>
            </w:r>
            <w:r w:rsidRPr="00CC0F58">
              <w:rPr>
                <w:sz w:val="20"/>
                <w:szCs w:val="20"/>
              </w:rPr>
              <w:t>1-Ref</w:t>
            </w:r>
            <w:r w:rsidRPr="00CC0F58">
              <w:rPr>
                <w:sz w:val="20"/>
                <w:szCs w:val="20"/>
                <w:vertAlign w:val="subscript"/>
              </w:rPr>
              <w:t>CM</w:t>
            </w:r>
            <w:r w:rsidRPr="00CC0F58">
              <w:rPr>
                <w:sz w:val="20"/>
                <w:szCs w:val="20"/>
              </w:rPr>
              <w:sym w:font="Symbol" w:char="F03E"/>
            </w:r>
            <w:r w:rsidRPr="00CC0F58">
              <w:rPr>
                <w:sz w:val="20"/>
                <w:szCs w:val="20"/>
              </w:rPr>
              <w:t xml:space="preserve"> </w:t>
            </w:r>
          </w:p>
        </w:tc>
        <w:tc>
          <w:tcPr>
            <w:tcW w:w="1092" w:type="dxa"/>
          </w:tcPr>
          <w:p w:rsidR="00CC0F58" w:rsidRPr="00CC0F58" w:rsidRDefault="00CC0F58" w:rsidP="00CC0F58">
            <w:pPr>
              <w:spacing w:after="100" w:afterAutospacing="1"/>
              <w:jc w:val="both"/>
              <w:rPr>
                <w:sz w:val="20"/>
                <w:szCs w:val="20"/>
              </w:rPr>
            </w:pPr>
            <w:r w:rsidRPr="00CC0F58">
              <w:rPr>
                <w:sz w:val="20"/>
                <w:szCs w:val="20"/>
              </w:rPr>
              <w:t>0.838</w:t>
            </w:r>
          </w:p>
        </w:tc>
        <w:tc>
          <w:tcPr>
            <w:tcW w:w="1152" w:type="dxa"/>
          </w:tcPr>
          <w:p w:rsidR="00CC0F58" w:rsidRPr="00CC0F58" w:rsidRDefault="00CC0F58" w:rsidP="00CC0F58">
            <w:pPr>
              <w:spacing w:after="100" w:afterAutospacing="1"/>
              <w:jc w:val="both"/>
              <w:rPr>
                <w:sz w:val="20"/>
                <w:szCs w:val="20"/>
              </w:rPr>
            </w:pPr>
            <w:r w:rsidRPr="00CC0F58">
              <w:rPr>
                <w:sz w:val="20"/>
                <w:szCs w:val="20"/>
              </w:rPr>
              <w:t>0.905</w:t>
            </w:r>
          </w:p>
        </w:tc>
        <w:tc>
          <w:tcPr>
            <w:tcW w:w="813" w:type="dxa"/>
          </w:tcPr>
          <w:p w:rsidR="00CC0F58" w:rsidRPr="00CC0F58" w:rsidRDefault="00CC0F58" w:rsidP="00CC0F58">
            <w:pPr>
              <w:spacing w:after="100" w:afterAutospacing="1"/>
              <w:jc w:val="both"/>
              <w:rPr>
                <w:sz w:val="20"/>
                <w:szCs w:val="20"/>
              </w:rPr>
            </w:pPr>
            <w:r w:rsidRPr="00CC0F58">
              <w:rPr>
                <w:sz w:val="20"/>
                <w:szCs w:val="20"/>
              </w:rPr>
              <w:t>0.953</w:t>
            </w:r>
          </w:p>
        </w:tc>
      </w:tr>
    </w:tbl>
    <w:p w:rsidR="00CC0F58" w:rsidRPr="00CC0F58" w:rsidRDefault="00CC0F58" w:rsidP="00CC0F58">
      <w:pPr>
        <w:pBdr>
          <w:top w:val="nil"/>
          <w:left w:val="nil"/>
          <w:bottom w:val="nil"/>
          <w:right w:val="nil"/>
          <w:between w:val="nil"/>
        </w:pBdr>
        <w:spacing w:before="120" w:line="480" w:lineRule="auto"/>
        <w:jc w:val="both"/>
        <w:rPr>
          <w:rFonts w:eastAsiaTheme="minorEastAsia"/>
          <w:lang w:val="en-US"/>
        </w:rPr>
      </w:pPr>
      <w:r w:rsidRPr="00AE78BF">
        <w:rPr>
          <w:lang w:val="en-US"/>
        </w:rPr>
        <w:t xml:space="preserve">Figure </w:t>
      </w:r>
      <w:r>
        <w:rPr>
          <w:lang w:val="en-US"/>
        </w:rPr>
        <w:t>S2</w:t>
      </w:r>
      <w:r w:rsidRPr="00AE78BF">
        <w:rPr>
          <w:lang w:val="en-US"/>
        </w:rPr>
        <w:t xml:space="preserve"> shows the effective refractive indexes of the </w:t>
      </w:r>
      <w:r>
        <w:rPr>
          <w:rFonts w:eastAsiaTheme="minorEastAsia"/>
          <w:lang w:val="en-US"/>
        </w:rPr>
        <w:t>Sapphire</w:t>
      </w:r>
      <w:r w:rsidRPr="00AE78BF">
        <w:rPr>
          <w:rFonts w:eastAsiaTheme="minorEastAsia"/>
          <w:vertAlign w:val="subscript"/>
          <w:lang w:val="en-US"/>
        </w:rPr>
        <w:t xml:space="preserve"> </w:t>
      </w:r>
      <w:r w:rsidRPr="00AE78BF">
        <w:rPr>
          <w:lang w:val="en-US"/>
        </w:rPr>
        <w:t xml:space="preserve">and glass slides at the sample-slide interface, extracted by the above method, as a function of </w:t>
      </w:r>
      <w:r w:rsidRPr="00AE78BF">
        <w:rPr>
          <w:i/>
          <w:iCs/>
          <w:lang w:val="en-US"/>
        </w:rPr>
        <w:t>FF</w:t>
      </w:r>
      <w:r w:rsidRPr="00AE78BF">
        <w:rPr>
          <w:vertAlign w:val="subscript"/>
          <w:lang w:val="en-US"/>
        </w:rPr>
        <w:t>TiO2</w:t>
      </w:r>
      <w:r w:rsidRPr="00AE78BF">
        <w:rPr>
          <w:lang w:val="en-US"/>
        </w:rPr>
        <w:t xml:space="preserve">. For comparison, the classical refractive indexes of the </w:t>
      </w:r>
      <w:r>
        <w:rPr>
          <w:rFonts w:eastAsiaTheme="minorEastAsia"/>
          <w:lang w:val="en-US"/>
        </w:rPr>
        <w:t>Sapphire</w:t>
      </w:r>
      <w:r w:rsidRPr="00AE78BF">
        <w:rPr>
          <w:rFonts w:eastAsiaTheme="minorEastAsia"/>
          <w:vertAlign w:val="subscript"/>
          <w:lang w:val="en-US"/>
        </w:rPr>
        <w:t xml:space="preserve"> </w:t>
      </w:r>
      <w:r w:rsidRPr="00AE78BF">
        <w:rPr>
          <w:lang w:val="en-US"/>
        </w:rPr>
        <w:t>and glass slides are also depicted. A</w:t>
      </w:r>
      <w:r w:rsidRPr="00AE78BF">
        <w:rPr>
          <w:color w:val="000000"/>
          <w:lang w:val="en-US"/>
        </w:rPr>
        <w:t xml:space="preserve">n increase of the effective refractive indexes is observed as </w:t>
      </w:r>
      <w:r w:rsidRPr="00AE78BF">
        <w:rPr>
          <w:i/>
          <w:iCs/>
          <w:color w:val="000000"/>
          <w:lang w:val="en-US"/>
        </w:rPr>
        <w:t>FF</w:t>
      </w:r>
      <w:r w:rsidRPr="00AE78BF">
        <w:rPr>
          <w:color w:val="000000"/>
          <w:vertAlign w:val="subscript"/>
          <w:lang w:val="en-US"/>
        </w:rPr>
        <w:t>TiO2</w:t>
      </w:r>
      <w:r w:rsidRPr="00AE78BF">
        <w:rPr>
          <w:color w:val="000000"/>
          <w:lang w:val="en-US"/>
        </w:rPr>
        <w:t xml:space="preserve"> is increased. For all </w:t>
      </w:r>
      <w:r w:rsidRPr="00AE78BF">
        <w:rPr>
          <w:rFonts w:eastAsiaTheme="minorEastAsia"/>
          <w:i/>
          <w:iCs/>
          <w:lang w:val="en-US"/>
        </w:rPr>
        <w:t>FF</w:t>
      </w:r>
      <w:r w:rsidRPr="00AE78BF">
        <w:rPr>
          <w:rFonts w:eastAsiaTheme="minorEastAsia"/>
          <w:vertAlign w:val="subscript"/>
          <w:lang w:val="en-US"/>
        </w:rPr>
        <w:t>TiO2</w:t>
      </w:r>
      <w:r w:rsidRPr="00AE78BF">
        <w:rPr>
          <w:rFonts w:eastAsiaTheme="minorEastAsia"/>
          <w:i/>
          <w:iCs/>
          <w:lang w:val="en-US"/>
        </w:rPr>
        <w:t xml:space="preserve"> </w:t>
      </w:r>
      <w:r w:rsidRPr="00AE78BF">
        <w:rPr>
          <w:rFonts w:eastAsiaTheme="minorEastAsia"/>
          <w:lang w:val="en-US"/>
        </w:rPr>
        <w:t xml:space="preserve">and samples with </w:t>
      </w:r>
      <w:r w:rsidRPr="00AE78BF">
        <w:rPr>
          <w:rFonts w:eastAsiaTheme="minorEastAsia"/>
          <w:i/>
          <w:iCs/>
          <w:lang w:val="en-US"/>
        </w:rPr>
        <w:t>FF</w:t>
      </w:r>
      <w:r w:rsidRPr="00AE78BF">
        <w:rPr>
          <w:rFonts w:eastAsiaTheme="minorEastAsia"/>
          <w:vertAlign w:val="subscript"/>
          <w:lang w:val="en-US"/>
        </w:rPr>
        <w:t>SiO2</w:t>
      </w:r>
      <w:r w:rsidRPr="00AE78BF">
        <w:rPr>
          <w:rFonts w:eastAsiaTheme="minorEastAsia"/>
          <w:lang w:val="en-US"/>
        </w:rPr>
        <w:t xml:space="preserve">=1.5%, </w:t>
      </w:r>
      <w:r w:rsidRPr="00AE78BF">
        <w:rPr>
          <w:color w:val="000000"/>
          <w:lang w:val="en-US"/>
        </w:rPr>
        <w:t xml:space="preserve">both effective refractive indexes of the </w:t>
      </w:r>
      <w:r>
        <w:rPr>
          <w:rFonts w:eastAsiaTheme="minorEastAsia"/>
          <w:lang w:val="en-US"/>
        </w:rPr>
        <w:t>Sapphire</w:t>
      </w:r>
      <w:r w:rsidRPr="00AE78BF">
        <w:rPr>
          <w:rFonts w:eastAsiaTheme="minorEastAsia"/>
          <w:vertAlign w:val="subscript"/>
          <w:lang w:val="en-US"/>
        </w:rPr>
        <w:t xml:space="preserve"> </w:t>
      </w:r>
      <w:r w:rsidRPr="00AE78BF">
        <w:rPr>
          <w:color w:val="000000"/>
          <w:lang w:val="en-US"/>
        </w:rPr>
        <w:t xml:space="preserve">and glass slides at the sample-slide interface </w:t>
      </w:r>
      <w:r w:rsidRPr="00AE78BF">
        <w:rPr>
          <w:rFonts w:eastAsiaTheme="minorEastAsia"/>
          <w:lang w:val="en-US"/>
        </w:rPr>
        <w:t xml:space="preserve">are higher than those of the samples with </w:t>
      </w:r>
      <w:r w:rsidRPr="00AE78BF">
        <w:rPr>
          <w:rFonts w:eastAsiaTheme="minorEastAsia"/>
          <w:i/>
          <w:iCs/>
          <w:lang w:val="en-US"/>
        </w:rPr>
        <w:t>FF</w:t>
      </w:r>
      <w:r w:rsidRPr="00AE78BF">
        <w:rPr>
          <w:rFonts w:eastAsiaTheme="minorEastAsia"/>
          <w:vertAlign w:val="subscript"/>
          <w:lang w:val="en-US"/>
        </w:rPr>
        <w:t>SiO2</w:t>
      </w:r>
      <w:r w:rsidRPr="00AE78BF">
        <w:rPr>
          <w:rFonts w:eastAsiaTheme="minorEastAsia"/>
          <w:lang w:val="en-US"/>
        </w:rPr>
        <w:t xml:space="preserve">=0.75%. This is expected for </w:t>
      </w:r>
      <w:r w:rsidRPr="00AE78BF">
        <w:rPr>
          <w:rFonts w:eastAsiaTheme="minorEastAsia"/>
          <w:i/>
          <w:iCs/>
          <w:lang w:val="en-US"/>
        </w:rPr>
        <w:t>FF</w:t>
      </w:r>
      <w:r w:rsidRPr="00AE78BF">
        <w:rPr>
          <w:rFonts w:eastAsiaTheme="minorEastAsia"/>
          <w:vertAlign w:val="subscript"/>
          <w:lang w:val="en-US"/>
        </w:rPr>
        <w:t>TiO2</w:t>
      </w:r>
      <w:r w:rsidRPr="00AE78BF">
        <w:rPr>
          <w:rFonts w:eastAsiaTheme="minorEastAsia"/>
        </w:rPr>
        <w:sym w:font="Symbol" w:char="F03C"/>
      </w:r>
      <w:r w:rsidRPr="00AE78BF">
        <w:rPr>
          <w:rFonts w:eastAsiaTheme="minorEastAsia"/>
          <w:lang w:val="en-US"/>
        </w:rPr>
        <w:t xml:space="preserve">4.8%, since Raman enhancement for </w:t>
      </w:r>
      <w:r w:rsidRPr="00AE78BF">
        <w:rPr>
          <w:rFonts w:eastAsiaTheme="minorEastAsia"/>
          <w:i/>
          <w:iCs/>
          <w:lang w:val="en-US"/>
        </w:rPr>
        <w:t>FF</w:t>
      </w:r>
      <w:r w:rsidRPr="00AE78BF">
        <w:rPr>
          <w:rFonts w:eastAsiaTheme="minorEastAsia"/>
          <w:vertAlign w:val="subscript"/>
          <w:lang w:val="en-US"/>
        </w:rPr>
        <w:t>TiO2</w:t>
      </w:r>
      <w:r w:rsidRPr="00AE78BF">
        <w:rPr>
          <w:rFonts w:eastAsiaTheme="minorEastAsia"/>
        </w:rPr>
        <w:sym w:font="Symbol" w:char="F03C"/>
      </w:r>
      <w:r w:rsidRPr="00AE78BF">
        <w:rPr>
          <w:rFonts w:eastAsiaTheme="minorEastAsia"/>
          <w:lang w:val="en-US"/>
        </w:rPr>
        <w:t xml:space="preserve">4.8% is stronger in the samples with </w:t>
      </w:r>
      <w:r w:rsidRPr="00AE78BF">
        <w:rPr>
          <w:rFonts w:eastAsiaTheme="minorEastAsia"/>
          <w:i/>
          <w:iCs/>
          <w:lang w:val="en-US"/>
        </w:rPr>
        <w:t>FF</w:t>
      </w:r>
      <w:r w:rsidRPr="00AE78BF">
        <w:rPr>
          <w:rFonts w:eastAsiaTheme="minorEastAsia"/>
          <w:vertAlign w:val="subscript"/>
          <w:lang w:val="en-US"/>
        </w:rPr>
        <w:t>SiO2</w:t>
      </w:r>
      <w:r w:rsidRPr="00AE78BF">
        <w:rPr>
          <w:rFonts w:eastAsiaTheme="minorEastAsia"/>
          <w:lang w:val="en-US"/>
        </w:rPr>
        <w:t xml:space="preserve">=1.5%, which would lead to a stronger interaction with the evanescent wave in comparison to the samples with </w:t>
      </w:r>
      <w:r w:rsidRPr="00AE78BF">
        <w:rPr>
          <w:rFonts w:eastAsiaTheme="minorEastAsia"/>
          <w:i/>
          <w:iCs/>
          <w:lang w:val="en-US"/>
        </w:rPr>
        <w:t>FF</w:t>
      </w:r>
      <w:r w:rsidRPr="00AE78BF">
        <w:rPr>
          <w:rFonts w:eastAsiaTheme="minorEastAsia"/>
          <w:vertAlign w:val="subscript"/>
          <w:lang w:val="en-US"/>
        </w:rPr>
        <w:t>SiO2</w:t>
      </w:r>
      <w:r w:rsidRPr="00AE78BF">
        <w:rPr>
          <w:rFonts w:eastAsiaTheme="minorEastAsia"/>
          <w:lang w:val="en-US"/>
        </w:rPr>
        <w:t xml:space="preserve">=0.75%. However, for </w:t>
      </w:r>
      <w:r w:rsidRPr="00AE78BF">
        <w:rPr>
          <w:rFonts w:eastAsiaTheme="minorEastAsia"/>
          <w:i/>
          <w:iCs/>
          <w:lang w:val="en-US"/>
        </w:rPr>
        <w:t>FF</w:t>
      </w:r>
      <w:r w:rsidRPr="00AE78BF">
        <w:rPr>
          <w:rFonts w:eastAsiaTheme="minorEastAsia"/>
          <w:vertAlign w:val="subscript"/>
          <w:lang w:val="en-US"/>
        </w:rPr>
        <w:t xml:space="preserve">TiO2 </w:t>
      </w:r>
      <w:r w:rsidRPr="00AE78BF">
        <w:rPr>
          <w:rFonts w:eastAsiaTheme="minorEastAsia"/>
        </w:rPr>
        <w:sym w:font="Symbol" w:char="F0B3"/>
      </w:r>
      <w:r w:rsidRPr="00AE78BF">
        <w:rPr>
          <w:rFonts w:eastAsiaTheme="minorEastAsia"/>
          <w:lang w:val="en-US"/>
        </w:rPr>
        <w:t xml:space="preserve">4.8%, range for which the enhanced Raman signal is larger for those samples with </w:t>
      </w:r>
      <w:r w:rsidRPr="00AE78BF">
        <w:rPr>
          <w:rFonts w:eastAsiaTheme="minorEastAsia"/>
          <w:i/>
          <w:iCs/>
          <w:lang w:val="en-US"/>
        </w:rPr>
        <w:t>FF</w:t>
      </w:r>
      <w:r w:rsidRPr="00AE78BF">
        <w:rPr>
          <w:rFonts w:eastAsiaTheme="minorEastAsia"/>
          <w:vertAlign w:val="subscript"/>
          <w:lang w:val="en-US"/>
        </w:rPr>
        <w:t>SiO2</w:t>
      </w:r>
      <w:r w:rsidRPr="00AE78BF">
        <w:rPr>
          <w:rFonts w:eastAsiaTheme="minorEastAsia"/>
          <w:lang w:val="en-US"/>
        </w:rPr>
        <w:t xml:space="preserve">=0.75%, the above behavior is not intuitive. This latter may be the result of a higher residual absorption in the samples with </w:t>
      </w:r>
      <w:r w:rsidRPr="00AE78BF">
        <w:rPr>
          <w:rFonts w:eastAsiaTheme="minorEastAsia"/>
          <w:i/>
          <w:iCs/>
          <w:lang w:val="en-US"/>
        </w:rPr>
        <w:t>FF</w:t>
      </w:r>
      <w:r w:rsidRPr="00AE78BF">
        <w:rPr>
          <w:rFonts w:eastAsiaTheme="minorEastAsia"/>
          <w:vertAlign w:val="subscript"/>
          <w:lang w:val="en-US"/>
        </w:rPr>
        <w:t>SiO2</w:t>
      </w:r>
      <w:r w:rsidRPr="00AE78BF">
        <w:rPr>
          <w:rFonts w:eastAsiaTheme="minorEastAsia"/>
          <w:lang w:val="en-US"/>
        </w:rPr>
        <w:t>=1.5% (larger quantity of SiO</w:t>
      </w:r>
      <w:r w:rsidRPr="00AE78BF">
        <w:rPr>
          <w:rFonts w:eastAsiaTheme="minorEastAsia"/>
          <w:vertAlign w:val="subscript"/>
          <w:lang w:val="en-US"/>
        </w:rPr>
        <w:t>2</w:t>
      </w:r>
      <w:r w:rsidRPr="00AE78BF">
        <w:rPr>
          <w:rFonts w:eastAsiaTheme="minorEastAsia"/>
          <w:lang w:val="en-US"/>
        </w:rPr>
        <w:t xml:space="preserve"> NPs surface), which for </w:t>
      </w:r>
      <w:r w:rsidRPr="00AE78BF">
        <w:rPr>
          <w:rFonts w:eastAsiaTheme="minorEastAsia"/>
          <w:i/>
          <w:iCs/>
          <w:lang w:val="en-US"/>
        </w:rPr>
        <w:t>FF</w:t>
      </w:r>
      <w:r w:rsidRPr="00AE78BF">
        <w:rPr>
          <w:rFonts w:eastAsiaTheme="minorEastAsia"/>
          <w:vertAlign w:val="subscript"/>
          <w:lang w:val="en-US"/>
        </w:rPr>
        <w:t>TiO2</w:t>
      </w:r>
      <w:r w:rsidRPr="00AE78BF">
        <w:rPr>
          <w:rFonts w:eastAsiaTheme="minorEastAsia"/>
        </w:rPr>
        <w:sym w:font="Symbol" w:char="F0B3"/>
      </w:r>
      <w:r w:rsidRPr="00AE78BF">
        <w:rPr>
          <w:rFonts w:eastAsiaTheme="minorEastAsia"/>
          <w:lang w:val="en-US"/>
        </w:rPr>
        <w:t>4.8% would begin to contribute appreciably on the deviation factors used to calculate the effective refractive index.</w:t>
      </w:r>
      <w:r w:rsidRPr="002114AA">
        <w:rPr>
          <w:rFonts w:eastAsiaTheme="minorEastAsia"/>
          <w:lang w:val="en-US"/>
        </w:rPr>
        <w:t xml:space="preserve"> </w:t>
      </w:r>
    </w:p>
    <w:p w:rsidR="006C621B" w:rsidRDefault="006C621B" w:rsidP="006C621B">
      <w:pPr>
        <w:keepNext/>
        <w:jc w:val="center"/>
      </w:pPr>
      <w:r>
        <w:rPr>
          <w:noProof/>
          <w:lang w:val="en-US" w:eastAsia="en-US"/>
        </w:rPr>
        <w:drawing>
          <wp:inline distT="0" distB="0" distL="0" distR="0" wp14:anchorId="7606E05E" wp14:editId="00DA67AB">
            <wp:extent cx="5429645" cy="1598081"/>
            <wp:effectExtent l="0" t="0" r="0" b="2540"/>
            <wp:docPr id="13551206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5120618" name="Imagen 1355120618"/>
                    <pic:cNvPicPr/>
                  </pic:nvPicPr>
                  <pic:blipFill>
                    <a:blip r:embed="rId8" cstate="print">
                      <a:extLst>
                        <a:ext uri="{28A0092B-C50C-407E-A947-70E740481C1C}">
                          <a14:useLocalDpi xmlns:a14="http://schemas.microsoft.com/office/drawing/2010/main" val="0"/>
                        </a:ext>
                      </a:extLst>
                    </a:blip>
                    <a:stretch>
                      <a:fillRect/>
                    </a:stretch>
                  </pic:blipFill>
                  <pic:spPr>
                    <a:xfrm>
                      <a:off x="0" y="0"/>
                      <a:ext cx="5624780" cy="1655514"/>
                    </a:xfrm>
                    <a:prstGeom prst="rect">
                      <a:avLst/>
                    </a:prstGeom>
                  </pic:spPr>
                </pic:pic>
              </a:graphicData>
            </a:graphic>
          </wp:inline>
        </w:drawing>
      </w:r>
    </w:p>
    <w:p w:rsidR="006C621B" w:rsidRPr="006C621B" w:rsidRDefault="006C621B" w:rsidP="006C621B">
      <w:pPr>
        <w:pStyle w:val="Descripcin"/>
        <w:jc w:val="both"/>
        <w:rPr>
          <w:rFonts w:ascii="Times New Roman" w:hAnsi="Times New Roman" w:cs="Times New Roman"/>
          <w:color w:val="auto"/>
          <w:sz w:val="20"/>
          <w:szCs w:val="20"/>
        </w:rPr>
      </w:pPr>
      <w:r w:rsidRPr="006C621B">
        <w:rPr>
          <w:rFonts w:ascii="Times New Roman" w:hAnsi="Times New Roman" w:cs="Times New Roman"/>
          <w:color w:val="auto"/>
          <w:sz w:val="20"/>
          <w:szCs w:val="20"/>
        </w:rPr>
        <w:t xml:space="preserve">Figure S </w:t>
      </w:r>
      <w:r w:rsidRPr="006C621B">
        <w:rPr>
          <w:rFonts w:ascii="Times New Roman" w:hAnsi="Times New Roman" w:cs="Times New Roman"/>
          <w:color w:val="auto"/>
          <w:sz w:val="20"/>
          <w:szCs w:val="20"/>
        </w:rPr>
        <w:fldChar w:fldCharType="begin"/>
      </w:r>
      <w:r w:rsidRPr="006C621B">
        <w:rPr>
          <w:rFonts w:ascii="Times New Roman" w:hAnsi="Times New Roman" w:cs="Times New Roman"/>
          <w:color w:val="auto"/>
          <w:sz w:val="20"/>
          <w:szCs w:val="20"/>
        </w:rPr>
        <w:instrText xml:space="preserve"> SEQ Figure_S \* ARABIC </w:instrText>
      </w:r>
      <w:r w:rsidRPr="006C621B">
        <w:rPr>
          <w:rFonts w:ascii="Times New Roman" w:hAnsi="Times New Roman" w:cs="Times New Roman"/>
          <w:color w:val="auto"/>
          <w:sz w:val="20"/>
          <w:szCs w:val="20"/>
        </w:rPr>
        <w:fldChar w:fldCharType="separate"/>
      </w:r>
      <w:r>
        <w:rPr>
          <w:rFonts w:ascii="Times New Roman" w:hAnsi="Times New Roman" w:cs="Times New Roman"/>
          <w:noProof/>
          <w:color w:val="auto"/>
          <w:sz w:val="20"/>
          <w:szCs w:val="20"/>
        </w:rPr>
        <w:t>2</w:t>
      </w:r>
      <w:r w:rsidRPr="006C621B">
        <w:rPr>
          <w:rFonts w:ascii="Times New Roman" w:hAnsi="Times New Roman" w:cs="Times New Roman"/>
          <w:color w:val="auto"/>
          <w:sz w:val="20"/>
          <w:szCs w:val="20"/>
        </w:rPr>
        <w:fldChar w:fldCharType="end"/>
      </w:r>
      <w:r w:rsidRPr="006C621B">
        <w:rPr>
          <w:rFonts w:ascii="Times New Roman" w:hAnsi="Times New Roman" w:cs="Times New Roman"/>
          <w:color w:val="auto"/>
          <w:sz w:val="20"/>
          <w:szCs w:val="20"/>
        </w:rPr>
        <w:t>.</w:t>
      </w:r>
      <w:r w:rsidRPr="006C621B">
        <w:rPr>
          <w:rFonts w:ascii="Times New Roman" w:hAnsi="Times New Roman" w:cs="Times New Roman"/>
          <w:b w:val="0"/>
          <w:bCs w:val="0"/>
          <w:i/>
          <w:iCs/>
          <w:color w:val="auto"/>
          <w:sz w:val="20"/>
          <w:szCs w:val="20"/>
        </w:rPr>
        <w:t xml:space="preserve"> The effective refractive indexes of the </w:t>
      </w:r>
      <w:r w:rsidRPr="006C621B">
        <w:rPr>
          <w:rFonts w:ascii="Times New Roman" w:eastAsiaTheme="minorEastAsia" w:hAnsi="Times New Roman" w:cs="Times New Roman"/>
          <w:b w:val="0"/>
          <w:bCs w:val="0"/>
          <w:i/>
          <w:iCs/>
          <w:color w:val="auto"/>
          <w:sz w:val="20"/>
          <w:szCs w:val="20"/>
        </w:rPr>
        <w:t>Sapphire a)</w:t>
      </w:r>
      <w:r w:rsidRPr="006C621B">
        <w:rPr>
          <w:rFonts w:ascii="Times New Roman" w:eastAsiaTheme="minorEastAsia" w:hAnsi="Times New Roman" w:cs="Times New Roman"/>
          <w:b w:val="0"/>
          <w:bCs w:val="0"/>
          <w:i/>
          <w:iCs/>
          <w:color w:val="auto"/>
          <w:sz w:val="20"/>
          <w:szCs w:val="20"/>
          <w:vertAlign w:val="subscript"/>
        </w:rPr>
        <w:t xml:space="preserve"> </w:t>
      </w:r>
      <w:r w:rsidRPr="006C621B">
        <w:rPr>
          <w:rFonts w:ascii="Times New Roman" w:hAnsi="Times New Roman" w:cs="Times New Roman"/>
          <w:b w:val="0"/>
          <w:bCs w:val="0"/>
          <w:i/>
          <w:iCs/>
          <w:color w:val="auto"/>
          <w:sz w:val="20"/>
          <w:szCs w:val="20"/>
        </w:rPr>
        <w:t xml:space="preserve">and glass b) slides at the sample-slide interface as a function of </w:t>
      </w:r>
      <w:r w:rsidRPr="006C621B">
        <w:rPr>
          <w:rFonts w:ascii="Times New Roman" w:eastAsiaTheme="minorEastAsia" w:hAnsi="Times New Roman" w:cs="Times New Roman"/>
          <w:b w:val="0"/>
          <w:bCs w:val="0"/>
          <w:i/>
          <w:iCs/>
          <w:color w:val="auto"/>
          <w:sz w:val="20"/>
          <w:szCs w:val="20"/>
        </w:rPr>
        <w:t>FF</w:t>
      </w:r>
      <w:r w:rsidRPr="006C621B">
        <w:rPr>
          <w:rFonts w:ascii="Times New Roman" w:eastAsiaTheme="minorEastAsia" w:hAnsi="Times New Roman" w:cs="Times New Roman"/>
          <w:b w:val="0"/>
          <w:bCs w:val="0"/>
          <w:i/>
          <w:iCs/>
          <w:color w:val="auto"/>
          <w:sz w:val="20"/>
          <w:szCs w:val="20"/>
          <w:vertAlign w:val="subscript"/>
        </w:rPr>
        <w:t>TiO2</w:t>
      </w:r>
      <w:r w:rsidRPr="006C621B">
        <w:rPr>
          <w:rFonts w:ascii="Times New Roman" w:hAnsi="Times New Roman" w:cs="Times New Roman"/>
          <w:b w:val="0"/>
          <w:bCs w:val="0"/>
          <w:i/>
          <w:iCs/>
          <w:color w:val="auto"/>
          <w:sz w:val="20"/>
          <w:szCs w:val="20"/>
        </w:rPr>
        <w:t xml:space="preserve"> with </w:t>
      </w:r>
      <w:r w:rsidRPr="006C621B">
        <w:rPr>
          <w:rFonts w:ascii="Times New Roman" w:eastAsiaTheme="minorEastAsia" w:hAnsi="Times New Roman" w:cs="Times New Roman"/>
          <w:b w:val="0"/>
          <w:bCs w:val="0"/>
          <w:i/>
          <w:iCs/>
          <w:color w:val="auto"/>
          <w:sz w:val="20"/>
          <w:szCs w:val="20"/>
        </w:rPr>
        <w:t>FF</w:t>
      </w:r>
      <w:r w:rsidRPr="006C621B">
        <w:rPr>
          <w:rFonts w:ascii="Times New Roman" w:eastAsiaTheme="minorEastAsia" w:hAnsi="Times New Roman" w:cs="Times New Roman"/>
          <w:b w:val="0"/>
          <w:bCs w:val="0"/>
          <w:i/>
          <w:iCs/>
          <w:color w:val="auto"/>
          <w:sz w:val="20"/>
          <w:szCs w:val="20"/>
          <w:vertAlign w:val="subscript"/>
        </w:rPr>
        <w:t>SiO2</w:t>
      </w:r>
      <w:r w:rsidRPr="006C621B">
        <w:rPr>
          <w:rFonts w:ascii="Times New Roman" w:hAnsi="Times New Roman" w:cs="Times New Roman"/>
          <w:b w:val="0"/>
          <w:bCs w:val="0"/>
          <w:i/>
          <w:iCs/>
          <w:color w:val="auto"/>
          <w:sz w:val="20"/>
          <w:szCs w:val="20"/>
        </w:rPr>
        <w:t xml:space="preserve">=1.5% in black squares and </w:t>
      </w:r>
      <w:r w:rsidRPr="006C621B">
        <w:rPr>
          <w:rFonts w:ascii="Times New Roman" w:eastAsiaTheme="minorEastAsia" w:hAnsi="Times New Roman" w:cs="Times New Roman"/>
          <w:b w:val="0"/>
          <w:bCs w:val="0"/>
          <w:i/>
          <w:iCs/>
          <w:color w:val="auto"/>
          <w:sz w:val="20"/>
          <w:szCs w:val="20"/>
        </w:rPr>
        <w:t>FF</w:t>
      </w:r>
      <w:r w:rsidRPr="006C621B">
        <w:rPr>
          <w:rFonts w:ascii="Times New Roman" w:eastAsiaTheme="minorEastAsia" w:hAnsi="Times New Roman" w:cs="Times New Roman"/>
          <w:b w:val="0"/>
          <w:bCs w:val="0"/>
          <w:i/>
          <w:iCs/>
          <w:color w:val="auto"/>
          <w:sz w:val="20"/>
          <w:szCs w:val="20"/>
          <w:vertAlign w:val="subscript"/>
        </w:rPr>
        <w:t>SiO2</w:t>
      </w:r>
      <w:r w:rsidRPr="006C621B">
        <w:rPr>
          <w:rFonts w:ascii="Times New Roman" w:hAnsi="Times New Roman" w:cs="Times New Roman"/>
          <w:b w:val="0"/>
          <w:bCs w:val="0"/>
          <w:i/>
          <w:iCs/>
          <w:color w:val="auto"/>
          <w:sz w:val="20"/>
          <w:szCs w:val="20"/>
        </w:rPr>
        <w:t>=0.75% in red circles.</w:t>
      </w:r>
    </w:p>
    <w:p w:rsidR="002114AA" w:rsidRPr="00956367" w:rsidRDefault="002114AA" w:rsidP="002114AA">
      <w:pPr>
        <w:pBdr>
          <w:top w:val="nil"/>
          <w:left w:val="nil"/>
          <w:bottom w:val="nil"/>
          <w:right w:val="nil"/>
          <w:between w:val="nil"/>
        </w:pBdr>
        <w:spacing w:line="480" w:lineRule="auto"/>
        <w:jc w:val="both"/>
        <w:rPr>
          <w:color w:val="000000"/>
          <w:lang w:val="en-US"/>
        </w:rPr>
      </w:pPr>
      <w:r>
        <w:rPr>
          <w:rFonts w:eastAsiaTheme="minorEastAsia"/>
          <w:lang w:val="en-US"/>
        </w:rPr>
        <w:t>F</w:t>
      </w:r>
      <w:r w:rsidRPr="00AB1FA0">
        <w:rPr>
          <w:rFonts w:eastAsiaTheme="minorEastAsia"/>
          <w:lang w:val="en-US"/>
        </w:rPr>
        <w:t xml:space="preserve">igure </w:t>
      </w:r>
      <w:r>
        <w:rPr>
          <w:rFonts w:eastAsiaTheme="minorEastAsia"/>
          <w:lang w:val="en-US"/>
        </w:rPr>
        <w:t>S3</w:t>
      </w:r>
      <w:r w:rsidRPr="00AB1FA0">
        <w:rPr>
          <w:rFonts w:eastAsiaTheme="minorEastAsia"/>
          <w:lang w:val="en-US"/>
        </w:rPr>
        <w:t xml:space="preserve"> shows a schematic diagram of the flow of operations to determine the effective refractive indexes of the sample and slides (</w:t>
      </w:r>
      <w:proofErr w:type="spellStart"/>
      <w:r w:rsidRPr="00AB1FA0">
        <w:rPr>
          <w:rFonts w:eastAsiaTheme="minorEastAsia"/>
          <w:i/>
          <w:iCs/>
          <w:lang w:val="en-US"/>
        </w:rPr>
        <w:t>n</w:t>
      </w:r>
      <w:r w:rsidRPr="00AB1FA0">
        <w:rPr>
          <w:rFonts w:eastAsiaTheme="minorEastAsia"/>
          <w:vertAlign w:val="subscript"/>
          <w:lang w:val="en-US"/>
        </w:rPr>
        <w:t>S</w:t>
      </w:r>
      <w:proofErr w:type="spellEnd"/>
      <w:r w:rsidRPr="00AB1FA0">
        <w:rPr>
          <w:rFonts w:eastAsiaTheme="minorEastAsia"/>
          <w:lang w:val="en-US"/>
        </w:rPr>
        <w:t>,</w:t>
      </w:r>
      <w:r w:rsidRPr="00AB1FA0">
        <w:rPr>
          <w:rFonts w:eastAsiaTheme="minorEastAsia"/>
          <w:i/>
          <w:iCs/>
          <w:lang w:val="en-US"/>
        </w:rPr>
        <w:t xml:space="preserve"> n</w:t>
      </w:r>
      <w:r w:rsidRPr="00AB1FA0">
        <w:rPr>
          <w:rFonts w:eastAsiaTheme="minorEastAsia"/>
          <w:vertAlign w:val="subscript"/>
          <w:lang w:val="en-US"/>
        </w:rPr>
        <w:t>Al2O3</w:t>
      </w:r>
      <w:r w:rsidRPr="00AB1FA0">
        <w:rPr>
          <w:rFonts w:eastAsiaTheme="minorEastAsia"/>
          <w:lang w:val="en-US"/>
        </w:rPr>
        <w:t xml:space="preserve"> and </w:t>
      </w:r>
      <w:proofErr w:type="spellStart"/>
      <w:r w:rsidRPr="00AB1FA0">
        <w:rPr>
          <w:rFonts w:eastAsiaTheme="minorEastAsia"/>
          <w:i/>
          <w:iCs/>
          <w:lang w:val="en-US"/>
        </w:rPr>
        <w:t>n</w:t>
      </w:r>
      <w:r w:rsidRPr="00AB1FA0">
        <w:rPr>
          <w:rFonts w:eastAsiaTheme="minorEastAsia"/>
          <w:vertAlign w:val="subscript"/>
          <w:lang w:val="en-US"/>
        </w:rPr>
        <w:t>Glass</w:t>
      </w:r>
      <w:proofErr w:type="spellEnd"/>
      <w:r w:rsidRPr="00AB1FA0">
        <w:rPr>
          <w:rFonts w:eastAsiaTheme="minorEastAsia"/>
          <w:lang w:val="en-US"/>
        </w:rPr>
        <w:t>) at the sample-slide interface.</w:t>
      </w:r>
    </w:p>
    <w:p w:rsidR="002114AA" w:rsidRPr="00AE78BF" w:rsidRDefault="006C621B" w:rsidP="002114AA">
      <w:pPr>
        <w:spacing w:line="480" w:lineRule="auto"/>
        <w:jc w:val="both"/>
        <w:rPr>
          <w:lang w:val="en-US"/>
        </w:rPr>
      </w:pPr>
      <w:r>
        <w:rPr>
          <w:noProof/>
          <w:lang w:val="en-US" w:eastAsia="en-US"/>
        </w:rPr>
        <w:drawing>
          <wp:inline distT="0" distB="0" distL="0" distR="0" wp14:anchorId="55C7C5CA" wp14:editId="6BFBB8D6">
            <wp:extent cx="5130031" cy="3689854"/>
            <wp:effectExtent l="0" t="0" r="1270" b="6350"/>
            <wp:docPr id="107130897"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30897" name="Imagen 107130897"/>
                    <pic:cNvPicPr/>
                  </pic:nvPicPr>
                  <pic:blipFill>
                    <a:blip r:embed="rId9" cstate="print">
                      <a:extLst>
                        <a:ext uri="{28A0092B-C50C-407E-A947-70E740481C1C}">
                          <a14:useLocalDpi xmlns:a14="http://schemas.microsoft.com/office/drawing/2010/main" val="0"/>
                        </a:ext>
                      </a:extLst>
                    </a:blip>
                    <a:stretch>
                      <a:fillRect/>
                    </a:stretch>
                  </pic:blipFill>
                  <pic:spPr>
                    <a:xfrm>
                      <a:off x="0" y="0"/>
                      <a:ext cx="5211396" cy="3748377"/>
                    </a:xfrm>
                    <a:prstGeom prst="rect">
                      <a:avLst/>
                    </a:prstGeom>
                  </pic:spPr>
                </pic:pic>
              </a:graphicData>
            </a:graphic>
          </wp:inline>
        </w:drawing>
      </w:r>
      <w:r w:rsidR="002114AA" w:rsidRPr="002114AA">
        <w:rPr>
          <w:lang w:val="en-US"/>
        </w:rPr>
        <w:t xml:space="preserve"> </w:t>
      </w:r>
    </w:p>
    <w:p w:rsidR="007A305C" w:rsidRDefault="006C621B" w:rsidP="006C621B">
      <w:pPr>
        <w:pStyle w:val="Descripcin"/>
        <w:jc w:val="both"/>
        <w:rPr>
          <w:rFonts w:ascii="Times New Roman" w:hAnsi="Times New Roman" w:cs="Times New Roman"/>
          <w:b w:val="0"/>
          <w:bCs w:val="0"/>
          <w:i/>
          <w:iCs/>
          <w:color w:val="auto"/>
          <w:sz w:val="20"/>
          <w:szCs w:val="20"/>
        </w:rPr>
      </w:pPr>
      <w:r w:rsidRPr="006C621B">
        <w:rPr>
          <w:rFonts w:ascii="Times New Roman" w:hAnsi="Times New Roman" w:cs="Times New Roman"/>
          <w:color w:val="auto"/>
          <w:sz w:val="20"/>
          <w:szCs w:val="20"/>
        </w:rPr>
        <w:t xml:space="preserve">Figure S </w:t>
      </w:r>
      <w:r w:rsidRPr="006C621B">
        <w:rPr>
          <w:rFonts w:ascii="Times New Roman" w:hAnsi="Times New Roman" w:cs="Times New Roman"/>
          <w:color w:val="auto"/>
          <w:sz w:val="20"/>
          <w:szCs w:val="20"/>
        </w:rPr>
        <w:fldChar w:fldCharType="begin"/>
      </w:r>
      <w:r w:rsidRPr="006C621B">
        <w:rPr>
          <w:rFonts w:ascii="Times New Roman" w:hAnsi="Times New Roman" w:cs="Times New Roman"/>
          <w:color w:val="auto"/>
          <w:sz w:val="20"/>
          <w:szCs w:val="20"/>
        </w:rPr>
        <w:instrText xml:space="preserve"> SEQ Figure_S \* ARABIC </w:instrText>
      </w:r>
      <w:r w:rsidRPr="006C621B">
        <w:rPr>
          <w:rFonts w:ascii="Times New Roman" w:hAnsi="Times New Roman" w:cs="Times New Roman"/>
          <w:color w:val="auto"/>
          <w:sz w:val="20"/>
          <w:szCs w:val="20"/>
        </w:rPr>
        <w:fldChar w:fldCharType="separate"/>
      </w:r>
      <w:r w:rsidRPr="006C621B">
        <w:rPr>
          <w:rFonts w:ascii="Times New Roman" w:hAnsi="Times New Roman" w:cs="Times New Roman"/>
          <w:noProof/>
          <w:color w:val="auto"/>
          <w:sz w:val="20"/>
          <w:szCs w:val="20"/>
        </w:rPr>
        <w:t>3</w:t>
      </w:r>
      <w:r w:rsidRPr="006C621B">
        <w:rPr>
          <w:rFonts w:ascii="Times New Roman" w:hAnsi="Times New Roman" w:cs="Times New Roman"/>
          <w:color w:val="auto"/>
          <w:sz w:val="20"/>
          <w:szCs w:val="20"/>
        </w:rPr>
        <w:fldChar w:fldCharType="end"/>
      </w:r>
      <w:r w:rsidRPr="006C621B">
        <w:rPr>
          <w:rFonts w:ascii="Times New Roman" w:hAnsi="Times New Roman" w:cs="Times New Roman"/>
          <w:color w:val="auto"/>
          <w:sz w:val="20"/>
          <w:szCs w:val="20"/>
        </w:rPr>
        <w:t>.</w:t>
      </w:r>
      <w:r w:rsidRPr="006C621B">
        <w:rPr>
          <w:rFonts w:ascii="Times New Roman" w:hAnsi="Times New Roman" w:cs="Times New Roman"/>
          <w:b w:val="0"/>
          <w:bCs w:val="0"/>
          <w:i/>
          <w:iCs/>
          <w:color w:val="auto"/>
          <w:sz w:val="20"/>
          <w:szCs w:val="20"/>
        </w:rPr>
        <w:t xml:space="preserve"> Represents the flow of operations executed to determine the effective refractive indexes (</w:t>
      </w:r>
      <w:proofErr w:type="spellStart"/>
      <w:r w:rsidRPr="006C621B">
        <w:rPr>
          <w:rFonts w:ascii="Times New Roman" w:hAnsi="Times New Roman" w:cs="Times New Roman"/>
          <w:b w:val="0"/>
          <w:bCs w:val="0"/>
          <w:i/>
          <w:iCs/>
          <w:color w:val="auto"/>
          <w:sz w:val="20"/>
          <w:szCs w:val="20"/>
        </w:rPr>
        <w:t>n</w:t>
      </w:r>
      <w:r w:rsidRPr="006C621B">
        <w:rPr>
          <w:rFonts w:ascii="Times New Roman" w:hAnsi="Times New Roman" w:cs="Times New Roman"/>
          <w:b w:val="0"/>
          <w:bCs w:val="0"/>
          <w:i/>
          <w:iCs/>
          <w:color w:val="auto"/>
          <w:sz w:val="20"/>
          <w:szCs w:val="20"/>
          <w:vertAlign w:val="subscript"/>
        </w:rPr>
        <w:t>S</w:t>
      </w:r>
      <w:proofErr w:type="spellEnd"/>
      <w:r w:rsidRPr="006C621B">
        <w:rPr>
          <w:rFonts w:ascii="Times New Roman" w:hAnsi="Times New Roman" w:cs="Times New Roman"/>
          <w:b w:val="0"/>
          <w:bCs w:val="0"/>
          <w:i/>
          <w:iCs/>
          <w:color w:val="auto"/>
          <w:sz w:val="20"/>
          <w:szCs w:val="20"/>
        </w:rPr>
        <w:t>, n</w:t>
      </w:r>
      <w:r w:rsidRPr="006C621B">
        <w:rPr>
          <w:rFonts w:ascii="Times New Roman" w:hAnsi="Times New Roman" w:cs="Times New Roman"/>
          <w:b w:val="0"/>
          <w:bCs w:val="0"/>
          <w:i/>
          <w:iCs/>
          <w:color w:val="auto"/>
          <w:sz w:val="20"/>
          <w:szCs w:val="20"/>
          <w:vertAlign w:val="subscript"/>
        </w:rPr>
        <w:t>Al2O3</w:t>
      </w:r>
      <w:r w:rsidRPr="006C621B">
        <w:rPr>
          <w:rFonts w:ascii="Times New Roman" w:hAnsi="Times New Roman" w:cs="Times New Roman"/>
          <w:b w:val="0"/>
          <w:bCs w:val="0"/>
          <w:i/>
          <w:iCs/>
          <w:color w:val="auto"/>
          <w:sz w:val="20"/>
          <w:szCs w:val="20"/>
        </w:rPr>
        <w:t xml:space="preserve">, </w:t>
      </w:r>
      <w:proofErr w:type="spellStart"/>
      <w:r w:rsidRPr="006C621B">
        <w:rPr>
          <w:rFonts w:ascii="Times New Roman" w:hAnsi="Times New Roman" w:cs="Times New Roman"/>
          <w:b w:val="0"/>
          <w:bCs w:val="0"/>
          <w:i/>
          <w:iCs/>
          <w:color w:val="auto"/>
          <w:sz w:val="20"/>
          <w:szCs w:val="20"/>
        </w:rPr>
        <w:t>n</w:t>
      </w:r>
      <w:r w:rsidRPr="006C621B">
        <w:rPr>
          <w:rFonts w:ascii="Times New Roman" w:hAnsi="Times New Roman" w:cs="Times New Roman"/>
          <w:b w:val="0"/>
          <w:bCs w:val="0"/>
          <w:i/>
          <w:iCs/>
          <w:color w:val="auto"/>
          <w:sz w:val="20"/>
          <w:szCs w:val="20"/>
          <w:vertAlign w:val="subscript"/>
        </w:rPr>
        <w:t>Glass</w:t>
      </w:r>
      <w:proofErr w:type="spellEnd"/>
      <w:r w:rsidRPr="006C621B">
        <w:rPr>
          <w:rFonts w:ascii="Times New Roman" w:hAnsi="Times New Roman" w:cs="Times New Roman"/>
          <w:b w:val="0"/>
          <w:bCs w:val="0"/>
          <w:i/>
          <w:iCs/>
          <w:color w:val="auto"/>
          <w:sz w:val="20"/>
          <w:szCs w:val="20"/>
        </w:rPr>
        <w:t>) of the sample and slides at the sample-slide interface.</w:t>
      </w:r>
    </w:p>
    <w:p w:rsidR="00D67FB0" w:rsidRPr="00D67FB0" w:rsidRDefault="00D67FB0" w:rsidP="00D67FB0">
      <w:pPr>
        <w:rPr>
          <w:b/>
          <w:bCs/>
          <w:lang w:val="en-US"/>
        </w:rPr>
      </w:pPr>
      <w:r w:rsidRPr="00D67FB0">
        <w:rPr>
          <w:b/>
          <w:bCs/>
          <w:lang w:val="en-US"/>
        </w:rPr>
        <w:t>References</w:t>
      </w:r>
    </w:p>
    <w:p w:rsidR="00D67FB0" w:rsidRPr="0085571A" w:rsidRDefault="00D67FB0" w:rsidP="00D67FB0">
      <w:pPr>
        <w:widowControl w:val="0"/>
        <w:autoSpaceDE w:val="0"/>
        <w:autoSpaceDN w:val="0"/>
        <w:adjustRightInd w:val="0"/>
        <w:ind w:left="640" w:hanging="640"/>
        <w:rPr>
          <w:noProof/>
          <w:sz w:val="20"/>
          <w:szCs w:val="20"/>
          <w:lang w:val="en-US"/>
        </w:rPr>
      </w:pPr>
      <w:r w:rsidRPr="00573E43">
        <w:rPr>
          <w:sz w:val="20"/>
          <w:szCs w:val="20"/>
          <w:lang w:val="en-US"/>
        </w:rPr>
        <w:fldChar w:fldCharType="begin" w:fldLock="1"/>
      </w:r>
      <w:r w:rsidRPr="00573E43">
        <w:rPr>
          <w:sz w:val="20"/>
          <w:szCs w:val="20"/>
          <w:lang w:val="en-US"/>
        </w:rPr>
        <w:instrText xml:space="preserve">ADDIN Mendeley Bibliography CSL_BIBLIOGRAPHY </w:instrText>
      </w:r>
      <w:r w:rsidRPr="00573E43">
        <w:rPr>
          <w:sz w:val="20"/>
          <w:szCs w:val="20"/>
          <w:lang w:val="en-US"/>
        </w:rPr>
        <w:fldChar w:fldCharType="separate"/>
      </w:r>
      <w:r w:rsidRPr="0085571A">
        <w:rPr>
          <w:noProof/>
          <w:sz w:val="20"/>
          <w:szCs w:val="20"/>
          <w:lang w:val="en-US"/>
        </w:rPr>
        <w:t>1</w:t>
      </w:r>
      <w:r w:rsidRPr="0085571A">
        <w:rPr>
          <w:noProof/>
          <w:sz w:val="20"/>
          <w:szCs w:val="20"/>
          <w:lang w:val="en-US"/>
        </w:rPr>
        <w:tab/>
        <w:t xml:space="preserve">R. J. Hunter, </w:t>
      </w:r>
      <w:r w:rsidRPr="0085571A">
        <w:rPr>
          <w:i/>
          <w:iCs/>
          <w:noProof/>
          <w:sz w:val="20"/>
          <w:szCs w:val="20"/>
          <w:lang w:val="en-US"/>
        </w:rPr>
        <w:t>Foundations of Colloid Science</w:t>
      </w:r>
      <w:r w:rsidRPr="0085571A">
        <w:rPr>
          <w:noProof/>
          <w:sz w:val="20"/>
          <w:szCs w:val="20"/>
          <w:lang w:val="en-US"/>
        </w:rPr>
        <w:t>, Oxfort University press, Oxford; New york, 2nd ED., 2001.</w:t>
      </w:r>
    </w:p>
    <w:p w:rsidR="00D67FB0" w:rsidRPr="0085571A" w:rsidRDefault="00D67FB0" w:rsidP="00D67FB0">
      <w:pPr>
        <w:widowControl w:val="0"/>
        <w:autoSpaceDE w:val="0"/>
        <w:autoSpaceDN w:val="0"/>
        <w:adjustRightInd w:val="0"/>
        <w:ind w:left="640" w:hanging="640"/>
        <w:rPr>
          <w:noProof/>
          <w:sz w:val="20"/>
          <w:szCs w:val="20"/>
          <w:lang w:val="en-US"/>
        </w:rPr>
      </w:pPr>
      <w:r w:rsidRPr="00573E43">
        <w:rPr>
          <w:noProof/>
          <w:sz w:val="20"/>
          <w:szCs w:val="20"/>
          <w:lang w:val="es-ES_tradnl"/>
        </w:rPr>
        <w:t>2</w:t>
      </w:r>
      <w:r w:rsidRPr="00573E43">
        <w:rPr>
          <w:noProof/>
          <w:sz w:val="20"/>
          <w:szCs w:val="20"/>
          <w:lang w:val="es-ES_tradnl"/>
        </w:rPr>
        <w:tab/>
        <w:t xml:space="preserve">D. Bastos and F. J. de las Nieves, </w:t>
      </w:r>
      <w:r w:rsidRPr="00573E43">
        <w:rPr>
          <w:i/>
          <w:iCs/>
          <w:noProof/>
          <w:sz w:val="20"/>
          <w:szCs w:val="20"/>
          <w:lang w:val="es-ES_tradnl"/>
        </w:rPr>
        <w:t xml:space="preserve">Colloid Polym. </w:t>
      </w:r>
      <w:r w:rsidRPr="0085571A">
        <w:rPr>
          <w:i/>
          <w:iCs/>
          <w:noProof/>
          <w:sz w:val="20"/>
          <w:szCs w:val="20"/>
          <w:lang w:val="en-US"/>
        </w:rPr>
        <w:t>Sci.</w:t>
      </w:r>
      <w:r w:rsidRPr="0085571A">
        <w:rPr>
          <w:noProof/>
          <w:sz w:val="20"/>
          <w:szCs w:val="20"/>
          <w:lang w:val="en-US"/>
        </w:rPr>
        <w:t xml:space="preserve">, 1994, </w:t>
      </w:r>
      <w:r w:rsidRPr="0085571A">
        <w:rPr>
          <w:b/>
          <w:bCs/>
          <w:noProof/>
          <w:sz w:val="20"/>
          <w:szCs w:val="20"/>
          <w:lang w:val="en-US"/>
        </w:rPr>
        <w:t>272</w:t>
      </w:r>
      <w:r w:rsidRPr="0085571A">
        <w:rPr>
          <w:noProof/>
          <w:sz w:val="20"/>
          <w:szCs w:val="20"/>
          <w:lang w:val="en-US"/>
        </w:rPr>
        <w:t>, 592–597.</w:t>
      </w:r>
    </w:p>
    <w:p w:rsidR="00D67FB0" w:rsidRPr="0085571A" w:rsidRDefault="00D67FB0" w:rsidP="00D67FB0">
      <w:pPr>
        <w:widowControl w:val="0"/>
        <w:autoSpaceDE w:val="0"/>
        <w:autoSpaceDN w:val="0"/>
        <w:adjustRightInd w:val="0"/>
        <w:ind w:left="640" w:hanging="640"/>
        <w:rPr>
          <w:noProof/>
          <w:sz w:val="20"/>
          <w:szCs w:val="20"/>
          <w:lang w:val="en-US"/>
        </w:rPr>
      </w:pPr>
      <w:r w:rsidRPr="0085571A">
        <w:rPr>
          <w:noProof/>
          <w:sz w:val="20"/>
          <w:szCs w:val="20"/>
          <w:lang w:val="en-US"/>
        </w:rPr>
        <w:t>3</w:t>
      </w:r>
      <w:r w:rsidRPr="0085571A">
        <w:rPr>
          <w:noProof/>
          <w:sz w:val="20"/>
          <w:szCs w:val="20"/>
          <w:lang w:val="en-US"/>
        </w:rPr>
        <w:tab/>
        <w:t xml:space="preserve">V. A. Ermakov, W. S. Martins, N. U. Wetter, F. C. Marques and E. Jiménez-Villar, </w:t>
      </w:r>
      <w:r w:rsidRPr="0085571A">
        <w:rPr>
          <w:i/>
          <w:iCs/>
          <w:noProof/>
          <w:sz w:val="20"/>
          <w:szCs w:val="20"/>
          <w:lang w:val="en-US"/>
        </w:rPr>
        <w:t>Nanoscale</w:t>
      </w:r>
      <w:r w:rsidRPr="0085571A">
        <w:rPr>
          <w:noProof/>
          <w:sz w:val="20"/>
          <w:szCs w:val="20"/>
          <w:lang w:val="en-US"/>
        </w:rPr>
        <w:t xml:space="preserve">, 2021, </w:t>
      </w:r>
      <w:r w:rsidRPr="0085571A">
        <w:rPr>
          <w:b/>
          <w:bCs/>
          <w:noProof/>
          <w:sz w:val="20"/>
          <w:szCs w:val="20"/>
          <w:lang w:val="en-US"/>
        </w:rPr>
        <w:t>13</w:t>
      </w:r>
      <w:r w:rsidRPr="0085571A">
        <w:rPr>
          <w:noProof/>
          <w:sz w:val="20"/>
          <w:szCs w:val="20"/>
          <w:lang w:val="en-US"/>
        </w:rPr>
        <w:t>, 6417–6425.</w:t>
      </w:r>
    </w:p>
    <w:p w:rsidR="00D67FB0" w:rsidRPr="0085571A" w:rsidRDefault="00D67FB0" w:rsidP="00D67FB0">
      <w:pPr>
        <w:widowControl w:val="0"/>
        <w:autoSpaceDE w:val="0"/>
        <w:autoSpaceDN w:val="0"/>
        <w:adjustRightInd w:val="0"/>
        <w:ind w:left="640" w:hanging="640"/>
        <w:rPr>
          <w:noProof/>
          <w:sz w:val="20"/>
          <w:szCs w:val="20"/>
          <w:lang w:val="en-US"/>
        </w:rPr>
      </w:pPr>
      <w:r w:rsidRPr="0085571A">
        <w:rPr>
          <w:noProof/>
          <w:sz w:val="20"/>
          <w:szCs w:val="20"/>
          <w:lang w:val="en-US"/>
        </w:rPr>
        <w:t>4</w:t>
      </w:r>
      <w:r w:rsidRPr="0085571A">
        <w:rPr>
          <w:noProof/>
          <w:sz w:val="20"/>
          <w:szCs w:val="20"/>
          <w:lang w:val="en-US"/>
        </w:rPr>
        <w:tab/>
        <w:t xml:space="preserve">N. Ise and I. S. Sogami, </w:t>
      </w:r>
      <w:r w:rsidRPr="0085571A">
        <w:rPr>
          <w:i/>
          <w:iCs/>
          <w:noProof/>
          <w:sz w:val="20"/>
          <w:szCs w:val="20"/>
          <w:lang w:val="en-US"/>
        </w:rPr>
        <w:t>Structure Formation in Solution: Ionic Polymers and Colloidal Particles</w:t>
      </w:r>
      <w:r w:rsidRPr="0085571A">
        <w:rPr>
          <w:noProof/>
          <w:sz w:val="20"/>
          <w:szCs w:val="20"/>
          <w:lang w:val="en-US"/>
        </w:rPr>
        <w:t>, Springer, New York, 2005.</w:t>
      </w:r>
    </w:p>
    <w:p w:rsidR="00D67FB0" w:rsidRPr="00573E43" w:rsidRDefault="00D67FB0" w:rsidP="00D67FB0">
      <w:pPr>
        <w:widowControl w:val="0"/>
        <w:autoSpaceDE w:val="0"/>
        <w:autoSpaceDN w:val="0"/>
        <w:adjustRightInd w:val="0"/>
        <w:ind w:left="640" w:hanging="640"/>
        <w:rPr>
          <w:noProof/>
          <w:sz w:val="20"/>
          <w:szCs w:val="20"/>
        </w:rPr>
      </w:pPr>
      <w:r w:rsidRPr="0085571A">
        <w:rPr>
          <w:noProof/>
          <w:sz w:val="20"/>
          <w:szCs w:val="20"/>
          <w:lang w:val="en-US"/>
        </w:rPr>
        <w:t>5</w:t>
      </w:r>
      <w:r w:rsidRPr="0085571A">
        <w:rPr>
          <w:noProof/>
          <w:sz w:val="20"/>
          <w:szCs w:val="20"/>
          <w:lang w:val="en-US"/>
        </w:rPr>
        <w:tab/>
        <w:t xml:space="preserve">L. Bressel, R. Hass and O. Reich, </w:t>
      </w:r>
      <w:r w:rsidRPr="0085571A">
        <w:rPr>
          <w:i/>
          <w:iCs/>
          <w:noProof/>
          <w:sz w:val="20"/>
          <w:szCs w:val="20"/>
          <w:lang w:val="en-US"/>
        </w:rPr>
        <w:t xml:space="preserve">J. Quant. </w:t>
      </w:r>
      <w:r w:rsidRPr="00573E43">
        <w:rPr>
          <w:i/>
          <w:iCs/>
          <w:noProof/>
          <w:sz w:val="20"/>
          <w:szCs w:val="20"/>
          <w:lang w:val="es-ES_tradnl"/>
        </w:rPr>
        <w:t>Spectrosc. Radiat. Transf.</w:t>
      </w:r>
      <w:r w:rsidRPr="00573E43">
        <w:rPr>
          <w:noProof/>
          <w:sz w:val="20"/>
          <w:szCs w:val="20"/>
          <w:lang w:val="es-ES_tradnl"/>
        </w:rPr>
        <w:t xml:space="preserve">, 2013, </w:t>
      </w:r>
      <w:r w:rsidRPr="00573E43">
        <w:rPr>
          <w:b/>
          <w:bCs/>
          <w:noProof/>
          <w:sz w:val="20"/>
          <w:szCs w:val="20"/>
          <w:lang w:val="es-ES_tradnl"/>
        </w:rPr>
        <w:t>126</w:t>
      </w:r>
      <w:r w:rsidRPr="00573E43">
        <w:rPr>
          <w:noProof/>
          <w:sz w:val="20"/>
          <w:szCs w:val="20"/>
          <w:lang w:val="es-ES_tradnl"/>
        </w:rPr>
        <w:t>, 122–129.</w:t>
      </w:r>
    </w:p>
    <w:p w:rsidR="00D67FB0" w:rsidRPr="00D67FB0" w:rsidRDefault="00D67FB0" w:rsidP="00D67FB0">
      <w:pPr>
        <w:rPr>
          <w:lang w:val="en-US"/>
        </w:rPr>
      </w:pPr>
      <w:r w:rsidRPr="00573E43">
        <w:rPr>
          <w:sz w:val="20"/>
          <w:szCs w:val="20"/>
          <w:lang w:val="en-US"/>
        </w:rPr>
        <w:fldChar w:fldCharType="end"/>
      </w:r>
    </w:p>
    <w:sectPr w:rsidR="00D67FB0" w:rsidRPr="00D67FB0" w:rsidSect="00920B43">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10ED4"/>
    <w:multiLevelType w:val="multilevel"/>
    <w:tmpl w:val="72E88FE4"/>
    <w:lvl w:ilvl="0">
      <w:start w:val="1"/>
      <w:numFmt w:val="decimal"/>
      <w:pStyle w:val="08SectionHeader1"/>
      <w:lvlText w:val="%1."/>
      <w:lvlJc w:val="left"/>
      <w:pPr>
        <w:ind w:left="502"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16cid:durableId="18936130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2"/>
  <w:doNotDisplayPageBoundaries/>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21B"/>
    <w:rsid w:val="000A45CF"/>
    <w:rsid w:val="000D6793"/>
    <w:rsid w:val="001E1710"/>
    <w:rsid w:val="002114AA"/>
    <w:rsid w:val="002F7A0D"/>
    <w:rsid w:val="00391852"/>
    <w:rsid w:val="003B7852"/>
    <w:rsid w:val="00472F45"/>
    <w:rsid w:val="00573E43"/>
    <w:rsid w:val="005A39F5"/>
    <w:rsid w:val="005F7F84"/>
    <w:rsid w:val="00671503"/>
    <w:rsid w:val="006C621B"/>
    <w:rsid w:val="00720CF5"/>
    <w:rsid w:val="00797FF2"/>
    <w:rsid w:val="007A305C"/>
    <w:rsid w:val="007E08FD"/>
    <w:rsid w:val="00811432"/>
    <w:rsid w:val="00845CA2"/>
    <w:rsid w:val="0085571A"/>
    <w:rsid w:val="008838A8"/>
    <w:rsid w:val="008902F6"/>
    <w:rsid w:val="008D6C05"/>
    <w:rsid w:val="00920B43"/>
    <w:rsid w:val="00956367"/>
    <w:rsid w:val="00996E8F"/>
    <w:rsid w:val="009A68A0"/>
    <w:rsid w:val="00B013AA"/>
    <w:rsid w:val="00B4204F"/>
    <w:rsid w:val="00CB1154"/>
    <w:rsid w:val="00CC0F58"/>
    <w:rsid w:val="00CC1B69"/>
    <w:rsid w:val="00CF62F7"/>
    <w:rsid w:val="00D67FB0"/>
    <w:rsid w:val="00F615F4"/>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C25CE"/>
  <w14:defaultImageDpi w14:val="32767"/>
  <w15:chartTrackingRefBased/>
  <w15:docId w15:val="{9786A063-4648-6148-9FE0-9917896F0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ES_trad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C621B"/>
    <w:rPr>
      <w:rFonts w:ascii="Times New Roman" w:eastAsia="Times New Roman" w:hAnsi="Times New Roman" w:cs="Times New Roman"/>
      <w:kern w:val="0"/>
      <w:lang w:val="es-ES" w:eastAsia="es-ES_tradnl"/>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C621B"/>
    <w:rPr>
      <w:rFonts w:ascii="Cambria" w:eastAsia="Cambria" w:hAnsi="Cambria" w:cs="Cambria"/>
      <w:kern w:val="0"/>
      <w:lang w:val="en-US" w:eastAsia="es-ES_trad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scripcin">
    <w:name w:val="caption"/>
    <w:basedOn w:val="Normal"/>
    <w:next w:val="Normal"/>
    <w:uiPriority w:val="35"/>
    <w:unhideWhenUsed/>
    <w:qFormat/>
    <w:rsid w:val="006C621B"/>
    <w:pPr>
      <w:spacing w:after="200"/>
    </w:pPr>
    <w:rPr>
      <w:rFonts w:ascii="Cambria" w:eastAsia="Cambria" w:hAnsi="Cambria" w:cs="Cambria"/>
      <w:b/>
      <w:bCs/>
      <w:color w:val="4472C4" w:themeColor="accent1"/>
      <w:sz w:val="18"/>
      <w:szCs w:val="18"/>
      <w:lang w:val="en-US"/>
    </w:rPr>
  </w:style>
  <w:style w:type="character" w:styleId="Hipervnculo">
    <w:name w:val="Hyperlink"/>
    <w:uiPriority w:val="99"/>
    <w:unhideWhenUsed/>
    <w:rsid w:val="006C621B"/>
    <w:rPr>
      <w:color w:val="0000FF"/>
      <w:u w:val="single"/>
    </w:rPr>
  </w:style>
  <w:style w:type="paragraph" w:customStyle="1" w:styleId="10BodySubsequentParagraph">
    <w:name w:val="10. Body Subsequent Paragraph"/>
    <w:basedOn w:val="Normal"/>
    <w:link w:val="10BodySubsequentParagraphChar"/>
    <w:qFormat/>
    <w:rsid w:val="006C621B"/>
    <w:pPr>
      <w:ind w:firstLine="288"/>
      <w:jc w:val="both"/>
    </w:pPr>
    <w:rPr>
      <w:rFonts w:eastAsiaTheme="minorEastAsia" w:cstheme="minorBidi"/>
      <w:color w:val="000000" w:themeColor="text1"/>
      <w:sz w:val="20"/>
      <w:szCs w:val="22"/>
      <w:lang w:val="en-US" w:eastAsia="en-US"/>
    </w:rPr>
  </w:style>
  <w:style w:type="character" w:customStyle="1" w:styleId="10BodySubsequentParagraphChar">
    <w:name w:val="10. Body Subsequent Paragraph Char"/>
    <w:basedOn w:val="Fuentedeprrafopredeter"/>
    <w:link w:val="10BodySubsequentParagraph"/>
    <w:rsid w:val="006C621B"/>
    <w:rPr>
      <w:rFonts w:ascii="Times New Roman" w:eastAsiaTheme="minorEastAsia" w:hAnsi="Times New Roman"/>
      <w:color w:val="000000" w:themeColor="text1"/>
      <w:kern w:val="0"/>
      <w:sz w:val="20"/>
      <w:szCs w:val="22"/>
      <w:lang w:val="en-US"/>
      <w14:ligatures w14:val="none"/>
    </w:rPr>
  </w:style>
  <w:style w:type="paragraph" w:customStyle="1" w:styleId="08SectionHeader1">
    <w:name w:val="08 Section Header 1"/>
    <w:next w:val="Normal"/>
    <w:qFormat/>
    <w:rsid w:val="006C621B"/>
    <w:pPr>
      <w:numPr>
        <w:numId w:val="1"/>
      </w:numPr>
      <w:spacing w:before="120"/>
      <w:ind w:left="360"/>
    </w:pPr>
    <w:rPr>
      <w:rFonts w:ascii="Arial" w:eastAsiaTheme="minorEastAsia" w:hAnsi="Arial"/>
      <w:b/>
      <w:kern w:val="0"/>
      <w:sz w:val="20"/>
      <w:szCs w:val="22"/>
      <w:lang w:val="en-US"/>
      <w14:ligatures w14:val="none"/>
    </w:rPr>
  </w:style>
  <w:style w:type="paragraph" w:customStyle="1" w:styleId="RSCB02ArticleText">
    <w:name w:val="RSC B02 Article Text"/>
    <w:basedOn w:val="Normal"/>
    <w:link w:val="RSCB02ArticleTextChar"/>
    <w:qFormat/>
    <w:rsid w:val="0085571A"/>
    <w:pPr>
      <w:spacing w:line="240" w:lineRule="exact"/>
      <w:jc w:val="both"/>
    </w:pPr>
    <w:rPr>
      <w:rFonts w:asciiTheme="minorHAnsi" w:eastAsiaTheme="minorHAnsi" w:hAnsiTheme="minorHAnsi"/>
      <w:w w:val="108"/>
      <w:sz w:val="18"/>
      <w:szCs w:val="18"/>
      <w:lang w:val="en-GB" w:eastAsia="en-US"/>
    </w:rPr>
  </w:style>
  <w:style w:type="character" w:customStyle="1" w:styleId="RSCB02ArticleTextChar">
    <w:name w:val="RSC B02 Article Text Char"/>
    <w:basedOn w:val="Fuentedeprrafopredeter"/>
    <w:link w:val="RSCB02ArticleText"/>
    <w:rsid w:val="0085571A"/>
    <w:rPr>
      <w:rFonts w:cs="Times New Roman"/>
      <w:w w:val="108"/>
      <w:kern w:val="0"/>
      <w:sz w:val="18"/>
      <w:szCs w:val="18"/>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Ernesto.jimenez@uv.es"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FB9A73-7300-EA40-A412-CAF8B6BC2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7</Pages>
  <Words>2771</Words>
  <Characters>15244</Characters>
  <Application>Microsoft Office Word</Application>
  <DocSecurity>0</DocSecurity>
  <Lines>127</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ernesto.jimenez.villar1@gmail.com</dc:creator>
  <cp:keywords/>
  <dc:description/>
  <cp:lastModifiedBy>ernesto.jimenez.villar1@gmail.com</cp:lastModifiedBy>
  <cp:revision>84</cp:revision>
  <dcterms:created xsi:type="dcterms:W3CDTF">2024-08-30T20:04:00Z</dcterms:created>
  <dcterms:modified xsi:type="dcterms:W3CDTF">2024-09-04T19:59:00Z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http://www.zotero.org/styles/acs-photonics</vt:lpwstr>
  </property>
  <property fmtid="{D5CDD505-2E9C-101B-9397-08002B2CF9AE}" pid="3" name="Mendeley Recent Style Name 0_1">
    <vt:lpwstr>ACS Photonics</vt:lpwstr>
  </property>
  <property fmtid="{D5CDD505-2E9C-101B-9397-08002B2CF9AE}" pid="4" name="Mendeley Recent Style Id 1_1">
    <vt:lpwstr>http://www.zotero.org/styles/applied-physics-letters</vt:lpwstr>
  </property>
  <property fmtid="{D5CDD505-2E9C-101B-9397-08002B2CF9AE}" pid="5" name="Mendeley Recent Style Name 1_1">
    <vt:lpwstr>Applied Physics Letters</vt:lpwstr>
  </property>
  <property fmtid="{D5CDD505-2E9C-101B-9397-08002B2CF9AE}" pid="6" name="Mendeley Recent Style Id 2_1">
    <vt:lpwstr>http://www.zotero.org/styles/frontiers-in-optics</vt:lpwstr>
  </property>
  <property fmtid="{D5CDD505-2E9C-101B-9397-08002B2CF9AE}" pid="7" name="Mendeley Recent Style Name 2_1">
    <vt:lpwstr>Frontiers in Optics</vt:lpwstr>
  </property>
  <property fmtid="{D5CDD505-2E9C-101B-9397-08002B2CF9AE}" pid="8" name="Mendeley Recent Style Id 3_1">
    <vt:lpwstr>http://www.zotero.org/styles/ieee</vt:lpwstr>
  </property>
  <property fmtid="{D5CDD505-2E9C-101B-9397-08002B2CF9AE}" pid="9" name="Mendeley Recent Style Name 3_1">
    <vt:lpwstr>IEEE</vt:lpwstr>
  </property>
  <property fmtid="{D5CDD505-2E9C-101B-9397-08002B2CF9AE}" pid="10" name="Mendeley Recent Style Id 4_1">
    <vt:lpwstr>http://www.zotero.org/styles/laser-and-photonics-reviews</vt:lpwstr>
  </property>
  <property fmtid="{D5CDD505-2E9C-101B-9397-08002B2CF9AE}" pid="11" name="Mendeley Recent Style Name 4_1">
    <vt:lpwstr>Laser &amp; Photonics Reviews</vt:lpwstr>
  </property>
  <property fmtid="{D5CDD505-2E9C-101B-9397-08002B2CF9AE}" pid="12" name="Mendeley Recent Style Id 5_1">
    <vt:lpwstr>http://www.zotero.org/styles/nanoscale</vt:lpwstr>
  </property>
  <property fmtid="{D5CDD505-2E9C-101B-9397-08002B2CF9AE}" pid="13" name="Mendeley Recent Style Name 5_1">
    <vt:lpwstr>Nanoscale</vt:lpwstr>
  </property>
  <property fmtid="{D5CDD505-2E9C-101B-9397-08002B2CF9AE}" pid="14" name="Mendeley Recent Style Id 6_1">
    <vt:lpwstr>http://www.zotero.org/styles/optical-materials-express</vt:lpwstr>
  </property>
  <property fmtid="{D5CDD505-2E9C-101B-9397-08002B2CF9AE}" pid="15" name="Mendeley Recent Style Name 6_1">
    <vt:lpwstr>Optical Materials Express</vt:lpwstr>
  </property>
  <property fmtid="{D5CDD505-2E9C-101B-9397-08002B2CF9AE}" pid="16" name="Mendeley Recent Style Id 7_1">
    <vt:lpwstr>http://www.zotero.org/styles/rsc-advances</vt:lpwstr>
  </property>
  <property fmtid="{D5CDD505-2E9C-101B-9397-08002B2CF9AE}" pid="17" name="Mendeley Recent Style Name 7_1">
    <vt:lpwstr>RSC Advances</vt:lpwstr>
  </property>
  <property fmtid="{D5CDD505-2E9C-101B-9397-08002B2CF9AE}" pid="18" name="Mendeley Recent Style Id 8_1">
    <vt:lpwstr>http://www.zotero.org/styles/spie-proceedings</vt:lpwstr>
  </property>
  <property fmtid="{D5CDD505-2E9C-101B-9397-08002B2CF9AE}" pid="19" name="Mendeley Recent Style Name 8_1">
    <vt:lpwstr>SPIE Conference Proceedings</vt:lpwstr>
  </property>
  <property fmtid="{D5CDD505-2E9C-101B-9397-08002B2CF9AE}" pid="20" name="Mendeley Recent Style Id 9_1">
    <vt:lpwstr>http://www.zotero.org/styles/science-advances</vt:lpwstr>
  </property>
  <property fmtid="{D5CDD505-2E9C-101B-9397-08002B2CF9AE}" pid="21" name="Mendeley Recent Style Name 9_1">
    <vt:lpwstr>Science Advances</vt:lpwstr>
  </property>
  <property fmtid="{D5CDD505-2E9C-101B-9397-08002B2CF9AE}" pid="22" name="Mendeley Document_1">
    <vt:lpwstr>True</vt:lpwstr>
  </property>
  <property fmtid="{D5CDD505-2E9C-101B-9397-08002B2CF9AE}" pid="23" name="Mendeley Unique User Id_1">
    <vt:lpwstr>628a2a71-2f30-364b-86a7-19d871068380</vt:lpwstr>
  </property>
  <property fmtid="{D5CDD505-2E9C-101B-9397-08002B2CF9AE}" pid="24" name="Mendeley Citation Style_1">
    <vt:lpwstr>http://www.zotero.org/styles/nanoscale</vt:lpwstr>
  </property>
</Properties>
</file>