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61FA" w14:textId="77777777" w:rsidR="00000000" w:rsidRPr="00AE6094" w:rsidRDefault="00000000"/>
    <w:p w14:paraId="46C99886" w14:textId="77777777" w:rsidR="00DA0065" w:rsidRPr="00AE6094" w:rsidRDefault="00B81630" w:rsidP="00DA0065">
      <w:pPr>
        <w:pStyle w:val="MDPI41tablecaption"/>
        <w:spacing w:before="0" w:after="0" w:line="360" w:lineRule="auto"/>
        <w:ind w:left="0"/>
        <w:rPr>
          <w:rFonts w:eastAsiaTheme="majorEastAsia" w:cs="Palatino Linotype"/>
          <w:i/>
          <w:iCs/>
          <w:color w:val="auto"/>
          <w:sz w:val="20"/>
          <w:szCs w:val="20"/>
          <w:lang w:eastAsia="zh-CN"/>
        </w:rPr>
      </w:pPr>
      <w:r w:rsidRPr="00AE6094">
        <w:rPr>
          <w:rFonts w:eastAsiaTheme="majorEastAsia" w:cs="Palatino Linotype"/>
          <w:i/>
          <w:iCs/>
          <w:noProof/>
          <w:color w:val="auto"/>
          <w:sz w:val="20"/>
          <w:szCs w:val="20"/>
          <w:lang w:eastAsia="zh-CN" w:bidi="ar-SA"/>
        </w:rPr>
        <w:drawing>
          <wp:inline distT="0" distB="0" distL="0" distR="0" wp14:anchorId="3B4D754D" wp14:editId="2599F12D">
            <wp:extent cx="5274310" cy="444627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PL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4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D2B51" w14:textId="77777777" w:rsidR="00DA0065" w:rsidRPr="00AE6094" w:rsidRDefault="00DA0065" w:rsidP="00DA0065">
      <w:pPr>
        <w:adjustRightInd w:val="0"/>
        <w:snapToGrid w:val="0"/>
        <w:spacing w:line="360" w:lineRule="auto"/>
        <w:jc w:val="left"/>
        <w:rPr>
          <w:rFonts w:ascii="Palatino Linotype" w:eastAsiaTheme="majorEastAsia" w:hAnsi="Palatino Linotype" w:cs="Palatino Linotype"/>
          <w:i/>
          <w:iCs/>
          <w:sz w:val="20"/>
          <w:szCs w:val="20"/>
        </w:rPr>
      </w:pPr>
      <w:r w:rsidRPr="00AE6094">
        <w:rPr>
          <w:rFonts w:ascii="Palatino Linotype" w:hAnsi="Palatino Linotype" w:cs="Times New Roman"/>
          <w:b/>
          <w:bCs/>
          <w:kern w:val="0"/>
          <w:sz w:val="20"/>
          <w:szCs w:val="20"/>
          <w:lang w:bidi="en-US"/>
        </w:rPr>
        <w:t xml:space="preserve">Fig. </w:t>
      </w:r>
      <w:r w:rsidR="0077617E" w:rsidRPr="00AE6094">
        <w:rPr>
          <w:rFonts w:ascii="Palatino Linotype" w:hAnsi="Palatino Linotype" w:cs="Times New Roman"/>
          <w:b/>
          <w:bCs/>
          <w:kern w:val="0"/>
          <w:sz w:val="20"/>
          <w:szCs w:val="20"/>
          <w:lang w:bidi="en-US"/>
        </w:rPr>
        <w:t>S4</w:t>
      </w:r>
      <w:r w:rsidRPr="00AE6094">
        <w:rPr>
          <w:rFonts w:ascii="Palatino Linotype" w:hAnsi="Palatino Linotype" w:cs="Times New Roman"/>
          <w:kern w:val="0"/>
          <w:sz w:val="20"/>
          <w:szCs w:val="20"/>
          <w:lang w:bidi="en-US"/>
        </w:rPr>
        <w:t xml:space="preserve"> The main results of validation experiments by UHPLC-UV analysis of three additional markers </w:t>
      </w:r>
      <w:r w:rsidRPr="00AE6094">
        <w:rPr>
          <w:rFonts w:ascii="Palatino Linotype" w:hAnsi="Palatino Linotype" w:cstheme="majorHAnsi"/>
          <w:sz w:val="20"/>
          <w:szCs w:val="20"/>
        </w:rPr>
        <w:t>(</w:t>
      </w:r>
      <w:r w:rsidRPr="00AE6094">
        <w:rPr>
          <w:rFonts w:ascii="Palatino Linotype" w:hAnsi="Palatino Linotype" w:cstheme="majorHAnsi"/>
          <w:b/>
          <w:sz w:val="20"/>
          <w:szCs w:val="20"/>
        </w:rPr>
        <w:t>8</w:t>
      </w:r>
      <w:r w:rsidRPr="00AE6094">
        <w:rPr>
          <w:rFonts w:ascii="Palatino Linotype" w:hAnsi="Palatino Linotype" w:cstheme="majorHAnsi"/>
          <w:sz w:val="20"/>
          <w:szCs w:val="20"/>
        </w:rPr>
        <w:t xml:space="preserve">, </w:t>
      </w:r>
      <w:r w:rsidRPr="00AE6094">
        <w:rPr>
          <w:rFonts w:ascii="Palatino Linotype" w:hAnsi="Palatino Linotype" w:cstheme="majorHAnsi"/>
          <w:b/>
          <w:sz w:val="20"/>
          <w:szCs w:val="20"/>
        </w:rPr>
        <w:t>13</w:t>
      </w:r>
      <w:r w:rsidRPr="00AE6094">
        <w:rPr>
          <w:rFonts w:ascii="Palatino Linotype" w:hAnsi="Palatino Linotype" w:cstheme="majorHAnsi"/>
          <w:sz w:val="20"/>
          <w:szCs w:val="20"/>
        </w:rPr>
        <w:t xml:space="preserve">, and </w:t>
      </w:r>
      <w:r w:rsidRPr="00AE6094">
        <w:rPr>
          <w:rFonts w:ascii="Palatino Linotype" w:hAnsi="Palatino Linotype" w:cstheme="majorHAnsi"/>
          <w:b/>
          <w:sz w:val="20"/>
          <w:szCs w:val="20"/>
        </w:rPr>
        <w:t>16</w:t>
      </w:r>
      <w:r w:rsidRPr="00AE6094">
        <w:rPr>
          <w:rFonts w:ascii="Palatino Linotype" w:hAnsi="Palatino Linotype" w:cstheme="majorHAnsi"/>
          <w:sz w:val="20"/>
          <w:szCs w:val="20"/>
        </w:rPr>
        <w:t>)</w:t>
      </w:r>
      <w:r w:rsidRPr="00AE6094">
        <w:rPr>
          <w:rFonts w:ascii="Palatino Linotype" w:hAnsi="Palatino Linotype" w:cs="Times New Roman"/>
          <w:kern w:val="0"/>
          <w:sz w:val="20"/>
          <w:szCs w:val="20"/>
          <w:lang w:bidi="en-US"/>
        </w:rPr>
        <w:t xml:space="preserve">. A, the mixed standards of three additional markers </w:t>
      </w:r>
      <w:r w:rsidRPr="00AE6094">
        <w:rPr>
          <w:rFonts w:ascii="Palatino Linotype" w:hAnsi="Palatino Linotype" w:cstheme="majorHAnsi"/>
          <w:sz w:val="20"/>
          <w:szCs w:val="20"/>
        </w:rPr>
        <w:t>(</w:t>
      </w:r>
      <w:r w:rsidRPr="00AE6094">
        <w:rPr>
          <w:rFonts w:ascii="Palatino Linotype" w:hAnsi="Palatino Linotype" w:cstheme="majorHAnsi"/>
          <w:b/>
          <w:sz w:val="20"/>
          <w:szCs w:val="20"/>
        </w:rPr>
        <w:t>8</w:t>
      </w:r>
      <w:r w:rsidRPr="00AE6094">
        <w:rPr>
          <w:rFonts w:ascii="Palatino Linotype" w:hAnsi="Palatino Linotype" w:cstheme="majorHAnsi"/>
          <w:sz w:val="20"/>
          <w:szCs w:val="20"/>
        </w:rPr>
        <w:t xml:space="preserve">, </w:t>
      </w:r>
      <w:r w:rsidRPr="00AE6094">
        <w:rPr>
          <w:rFonts w:ascii="Palatino Linotype" w:hAnsi="Palatino Linotype" w:cstheme="majorHAnsi"/>
          <w:b/>
          <w:sz w:val="20"/>
          <w:szCs w:val="20"/>
        </w:rPr>
        <w:t>13</w:t>
      </w:r>
      <w:r w:rsidRPr="00AE6094">
        <w:rPr>
          <w:rFonts w:ascii="Palatino Linotype" w:hAnsi="Palatino Linotype" w:cstheme="majorHAnsi"/>
          <w:sz w:val="20"/>
          <w:szCs w:val="20"/>
        </w:rPr>
        <w:t xml:space="preserve">, and </w:t>
      </w:r>
      <w:r w:rsidRPr="00AE6094">
        <w:rPr>
          <w:rFonts w:ascii="Palatino Linotype" w:hAnsi="Palatino Linotype" w:cstheme="majorHAnsi"/>
          <w:b/>
          <w:sz w:val="20"/>
          <w:szCs w:val="20"/>
        </w:rPr>
        <w:t>16</w:t>
      </w:r>
      <w:r w:rsidRPr="00AE6094">
        <w:rPr>
          <w:rFonts w:ascii="Palatino Linotype" w:hAnsi="Palatino Linotype" w:cstheme="majorHAnsi"/>
          <w:sz w:val="20"/>
          <w:szCs w:val="20"/>
        </w:rPr>
        <w:t>); B</w:t>
      </w:r>
      <w:r w:rsidRPr="00AE6094">
        <w:rPr>
          <w:rFonts w:ascii="Palatino Linotype" w:hAnsi="Palatino Linotype" w:cs="Times New Roman"/>
          <w:kern w:val="0"/>
          <w:sz w:val="20"/>
          <w:szCs w:val="20"/>
          <w:lang w:bidi="en-US"/>
        </w:rPr>
        <w:t>, blank (methanol)</w:t>
      </w:r>
      <w:r w:rsidRPr="00AE6094">
        <w:rPr>
          <w:rFonts w:ascii="Palatino Linotype" w:hAnsi="Palatino Linotype" w:cstheme="majorHAnsi"/>
          <w:sz w:val="20"/>
          <w:szCs w:val="20"/>
        </w:rPr>
        <w:t xml:space="preserve">; </w:t>
      </w:r>
      <w:r w:rsidRPr="00AE6094">
        <w:rPr>
          <w:rFonts w:ascii="Palatino Linotype" w:hAnsi="Palatino Linotype" w:cs="Times New Roman"/>
          <w:kern w:val="0"/>
          <w:sz w:val="20"/>
          <w:szCs w:val="20"/>
          <w:lang w:bidi="en-US"/>
        </w:rPr>
        <w:t xml:space="preserve">C, the product from Yunnan </w:t>
      </w:r>
      <w:proofErr w:type="spellStart"/>
      <w:r w:rsidRPr="00AE6094">
        <w:rPr>
          <w:rFonts w:ascii="Palatino Linotype" w:hAnsi="Palatino Linotype" w:cs="Times New Roman"/>
          <w:kern w:val="0"/>
          <w:sz w:val="20"/>
          <w:szCs w:val="20"/>
          <w:lang w:bidi="en-US"/>
        </w:rPr>
        <w:t>Hekou</w:t>
      </w:r>
      <w:proofErr w:type="spellEnd"/>
      <w:r w:rsidRPr="00AE6094">
        <w:rPr>
          <w:rFonts w:ascii="Palatino Linotype" w:hAnsi="Palatino Linotype" w:cs="Times New Roman"/>
          <w:kern w:val="0"/>
          <w:sz w:val="20"/>
          <w:szCs w:val="20"/>
          <w:lang w:bidi="en-US"/>
        </w:rPr>
        <w:t xml:space="preserve">; D, the product from Hainan Sanya; E, the product from Yunnan Xishuangbanna; F, the product from Guangxi </w:t>
      </w:r>
      <w:proofErr w:type="spellStart"/>
      <w:r w:rsidRPr="00AE6094">
        <w:rPr>
          <w:rFonts w:ascii="Palatino Linotype" w:hAnsi="Palatino Linotype" w:cs="Times New Roman"/>
          <w:kern w:val="0"/>
          <w:sz w:val="20"/>
          <w:szCs w:val="20"/>
          <w:lang w:bidi="en-US"/>
        </w:rPr>
        <w:t>Yulin</w:t>
      </w:r>
      <w:proofErr w:type="spellEnd"/>
      <w:r w:rsidRPr="00AE6094">
        <w:rPr>
          <w:rFonts w:ascii="Palatino Linotype" w:hAnsi="Palatino Linotype" w:cs="Times New Roman"/>
          <w:kern w:val="0"/>
          <w:sz w:val="20"/>
          <w:szCs w:val="20"/>
          <w:lang w:bidi="en-US"/>
        </w:rPr>
        <w:t xml:space="preserve">. </w:t>
      </w:r>
    </w:p>
    <w:p w14:paraId="2BA385B7" w14:textId="03416C3F" w:rsidR="00DA0065" w:rsidRPr="00AE6094" w:rsidRDefault="00DA0065"/>
    <w:sectPr w:rsidR="00DA0065" w:rsidRPr="00AE60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4AD8D" w14:textId="77777777" w:rsidR="00411171" w:rsidRDefault="00411171" w:rsidP="00DA0065">
      <w:r>
        <w:separator/>
      </w:r>
    </w:p>
  </w:endnote>
  <w:endnote w:type="continuationSeparator" w:id="0">
    <w:p w14:paraId="138BE266" w14:textId="77777777" w:rsidR="00411171" w:rsidRDefault="00411171" w:rsidP="00DA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31653" w14:textId="77777777" w:rsidR="00411171" w:rsidRDefault="00411171" w:rsidP="00DA0065">
      <w:r>
        <w:separator/>
      </w:r>
    </w:p>
  </w:footnote>
  <w:footnote w:type="continuationSeparator" w:id="0">
    <w:p w14:paraId="2F78C7F6" w14:textId="77777777" w:rsidR="00411171" w:rsidRDefault="00411171" w:rsidP="00DA0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83"/>
    <w:rsid w:val="000E6F93"/>
    <w:rsid w:val="00307736"/>
    <w:rsid w:val="00411171"/>
    <w:rsid w:val="0045579A"/>
    <w:rsid w:val="00640085"/>
    <w:rsid w:val="006D4483"/>
    <w:rsid w:val="00712F44"/>
    <w:rsid w:val="0077617E"/>
    <w:rsid w:val="007D5322"/>
    <w:rsid w:val="008F7AC5"/>
    <w:rsid w:val="00AE6094"/>
    <w:rsid w:val="00B81630"/>
    <w:rsid w:val="00DA0065"/>
    <w:rsid w:val="00F3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9B5FF3"/>
  <w15:chartTrackingRefBased/>
  <w15:docId w15:val="{BE2CA0AE-42E6-428B-8588-24A247C5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065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A0065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A0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A0065"/>
    <w:rPr>
      <w:sz w:val="18"/>
      <w:szCs w:val="18"/>
    </w:rPr>
  </w:style>
  <w:style w:type="paragraph" w:customStyle="1" w:styleId="MDPI41tablecaption">
    <w:name w:val="MDPI_4.1_table_caption"/>
    <w:qFormat/>
    <w:rsid w:val="00DA0065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20220810</dc:creator>
  <cp:keywords/>
  <dc:description/>
  <cp:lastModifiedBy>Lotlot Purisima Villegas</cp:lastModifiedBy>
  <cp:revision>8</cp:revision>
  <dcterms:created xsi:type="dcterms:W3CDTF">2025-05-01T00:43:00Z</dcterms:created>
  <dcterms:modified xsi:type="dcterms:W3CDTF">2026-01-12T04:12:00Z</dcterms:modified>
</cp:coreProperties>
</file>