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87116" w14:textId="165EDCC4" w:rsidR="00CD2B5C" w:rsidRPr="00B46270" w:rsidRDefault="00CD2B5C" w:rsidP="000F7CEB">
      <w:pPr>
        <w:spacing w:after="0" w:line="240" w:lineRule="auto"/>
        <w:jc w:val="center"/>
        <w:rPr>
          <w:rFonts w:asciiTheme="majorBidi" w:hAnsiTheme="majorBidi" w:cstheme="majorBidi"/>
          <w:b/>
          <w:bCs/>
          <w:sz w:val="24"/>
          <w:szCs w:val="24"/>
        </w:rPr>
      </w:pPr>
      <w:r w:rsidRPr="00B46270">
        <w:rPr>
          <w:rFonts w:asciiTheme="majorBidi" w:hAnsiTheme="majorBidi" w:cstheme="majorBidi"/>
          <w:b/>
          <w:bCs/>
          <w:sz w:val="24"/>
          <w:szCs w:val="24"/>
        </w:rPr>
        <w:t>Utilization of Cadmium Sulfide/Nickel-Ferric Layered Double Hydroxide Nanocomposite Decorated with Silver Nanoparticles for Efficient Adsorption and Photocatalytic Degradation of 2,4-Dichlorophenoxyacetic Acid</w:t>
      </w:r>
    </w:p>
    <w:p w14:paraId="163462B2" w14:textId="78E786CC" w:rsidR="0093563C" w:rsidRPr="00B46270" w:rsidRDefault="0093563C" w:rsidP="0093563C">
      <w:pPr>
        <w:spacing w:after="0" w:line="240" w:lineRule="auto"/>
        <w:ind w:left="2410" w:hanging="2410"/>
        <w:jc w:val="center"/>
        <w:rPr>
          <w:rFonts w:asciiTheme="majorBidi" w:hAnsiTheme="majorBidi" w:cstheme="majorBidi"/>
          <w:sz w:val="24"/>
          <w:szCs w:val="24"/>
        </w:rPr>
      </w:pPr>
      <w:r w:rsidRPr="00B46270">
        <w:rPr>
          <w:rFonts w:asciiTheme="majorBidi" w:hAnsiTheme="majorBidi" w:cstheme="majorBidi"/>
          <w:sz w:val="24"/>
          <w:szCs w:val="24"/>
        </w:rPr>
        <w:t>Walaa A. Shaltout</w:t>
      </w:r>
      <w:r w:rsidRPr="00B46270">
        <w:rPr>
          <w:rFonts w:asciiTheme="majorBidi" w:hAnsiTheme="majorBidi" w:cstheme="majorBidi"/>
          <w:sz w:val="24"/>
          <w:szCs w:val="24"/>
          <w:vertAlign w:val="superscript"/>
        </w:rPr>
        <w:t>*1</w:t>
      </w:r>
      <w:r w:rsidRPr="00B46270">
        <w:rPr>
          <w:rFonts w:asciiTheme="majorBidi" w:hAnsiTheme="majorBidi" w:cstheme="majorBidi"/>
          <w:sz w:val="24"/>
          <w:szCs w:val="24"/>
        </w:rPr>
        <w:t xml:space="preserve">, </w:t>
      </w:r>
      <w:bookmarkStart w:id="0" w:name="_Hlk185069968"/>
      <w:r w:rsidRPr="00B46270">
        <w:rPr>
          <w:rFonts w:asciiTheme="majorBidi" w:hAnsiTheme="majorBidi" w:cstheme="majorBidi"/>
          <w:sz w:val="24"/>
          <w:szCs w:val="24"/>
        </w:rPr>
        <w:t>Asaad F. Hassan</w:t>
      </w:r>
      <w:bookmarkEnd w:id="0"/>
      <w:r w:rsidRPr="00B46270">
        <w:rPr>
          <w:rFonts w:asciiTheme="majorBidi" w:hAnsiTheme="majorBidi" w:cstheme="majorBidi"/>
          <w:sz w:val="24"/>
          <w:szCs w:val="24"/>
          <w:vertAlign w:val="superscript"/>
        </w:rPr>
        <w:t>2</w:t>
      </w:r>
      <w:r w:rsidRPr="00B46270">
        <w:rPr>
          <w:rFonts w:asciiTheme="majorBidi" w:hAnsiTheme="majorBidi" w:cstheme="majorBidi"/>
          <w:sz w:val="24"/>
          <w:szCs w:val="24"/>
        </w:rPr>
        <w:t>, Maha S. Elsayed</w:t>
      </w:r>
      <w:r w:rsidRPr="00B46270">
        <w:rPr>
          <w:rFonts w:asciiTheme="majorBidi" w:hAnsiTheme="majorBidi" w:cstheme="majorBidi"/>
          <w:sz w:val="24"/>
          <w:szCs w:val="24"/>
          <w:vertAlign w:val="superscript"/>
        </w:rPr>
        <w:t>3</w:t>
      </w:r>
      <w:r w:rsidRPr="00B46270">
        <w:rPr>
          <w:rFonts w:asciiTheme="majorBidi" w:hAnsiTheme="majorBidi" w:cstheme="majorBidi"/>
          <w:sz w:val="24"/>
          <w:szCs w:val="24"/>
        </w:rPr>
        <w:t>, H. Hafez</w:t>
      </w:r>
      <w:r w:rsidRPr="00B46270">
        <w:rPr>
          <w:rFonts w:asciiTheme="majorBidi" w:hAnsiTheme="majorBidi" w:cstheme="majorBidi"/>
          <w:sz w:val="24"/>
          <w:szCs w:val="24"/>
          <w:vertAlign w:val="superscript"/>
        </w:rPr>
        <w:t>4</w:t>
      </w:r>
    </w:p>
    <w:p w14:paraId="72BB1171" w14:textId="77777777" w:rsidR="0093563C" w:rsidRPr="00B46270" w:rsidRDefault="0093563C" w:rsidP="0093563C">
      <w:pPr>
        <w:spacing w:after="0" w:line="240" w:lineRule="auto"/>
        <w:jc w:val="both"/>
        <w:rPr>
          <w:rFonts w:asciiTheme="majorBidi" w:hAnsiTheme="majorBidi" w:cstheme="majorBidi"/>
          <w:sz w:val="24"/>
          <w:szCs w:val="24"/>
        </w:rPr>
      </w:pPr>
      <w:r w:rsidRPr="00B46270">
        <w:rPr>
          <w:rFonts w:asciiTheme="majorBidi" w:hAnsiTheme="majorBidi" w:cstheme="majorBidi"/>
          <w:sz w:val="24"/>
          <w:szCs w:val="24"/>
          <w:vertAlign w:val="superscript"/>
        </w:rPr>
        <w:t>1</w:t>
      </w:r>
      <w:r w:rsidRPr="00B46270">
        <w:rPr>
          <w:rFonts w:asciiTheme="majorBidi" w:hAnsiTheme="majorBidi" w:cstheme="majorBidi"/>
          <w:sz w:val="24"/>
          <w:szCs w:val="24"/>
        </w:rPr>
        <w:t>Survey of Natural Resources Department, Environmental Studies and Research Institute, University of Sadat City, Egypt.</w:t>
      </w:r>
    </w:p>
    <w:p w14:paraId="0D990088" w14:textId="77777777" w:rsidR="0093563C" w:rsidRPr="00B46270" w:rsidRDefault="0093563C" w:rsidP="0093563C">
      <w:pPr>
        <w:spacing w:after="0" w:line="240" w:lineRule="auto"/>
        <w:ind w:left="2410" w:hanging="2410"/>
        <w:jc w:val="both"/>
        <w:rPr>
          <w:rFonts w:asciiTheme="majorBidi" w:hAnsiTheme="majorBidi" w:cstheme="majorBidi"/>
          <w:sz w:val="24"/>
          <w:szCs w:val="24"/>
        </w:rPr>
      </w:pPr>
      <w:r w:rsidRPr="00B46270">
        <w:rPr>
          <w:rFonts w:asciiTheme="majorBidi" w:hAnsiTheme="majorBidi" w:cstheme="majorBidi"/>
          <w:sz w:val="24"/>
          <w:szCs w:val="24"/>
          <w:vertAlign w:val="superscript"/>
        </w:rPr>
        <w:t>2</w:t>
      </w:r>
      <w:r w:rsidRPr="00B46270">
        <w:rPr>
          <w:rFonts w:asciiTheme="majorBidi" w:hAnsiTheme="majorBidi" w:cstheme="majorBidi"/>
          <w:sz w:val="24"/>
          <w:szCs w:val="24"/>
        </w:rPr>
        <w:t>Chemistry Department, Faculty of Science, Damanhour University, Damanhour 22511, Egypt</w:t>
      </w:r>
    </w:p>
    <w:p w14:paraId="41B62B36" w14:textId="77777777" w:rsidR="0093563C" w:rsidRPr="00B46270" w:rsidRDefault="0093563C" w:rsidP="0093563C">
      <w:pPr>
        <w:spacing w:after="0" w:line="240" w:lineRule="auto"/>
        <w:jc w:val="both"/>
        <w:rPr>
          <w:rFonts w:asciiTheme="majorBidi" w:hAnsiTheme="majorBidi" w:cstheme="majorBidi"/>
          <w:sz w:val="24"/>
          <w:szCs w:val="24"/>
        </w:rPr>
      </w:pPr>
      <w:r w:rsidRPr="00B46270">
        <w:rPr>
          <w:rFonts w:asciiTheme="majorBidi" w:hAnsiTheme="majorBidi" w:cstheme="majorBidi"/>
          <w:sz w:val="24"/>
          <w:szCs w:val="24"/>
          <w:vertAlign w:val="superscript"/>
        </w:rPr>
        <w:t>3</w:t>
      </w:r>
      <w:r w:rsidRPr="00B46270">
        <w:rPr>
          <w:rFonts w:asciiTheme="majorBidi" w:hAnsiTheme="majorBidi" w:cstheme="majorBidi"/>
          <w:sz w:val="24"/>
          <w:szCs w:val="24"/>
        </w:rPr>
        <w:t>Central Laboratory of Date Palm Research and Development, Agricultural Research Center, Giza 12619, Egypt</w:t>
      </w:r>
    </w:p>
    <w:p w14:paraId="1F1A4362" w14:textId="77777777" w:rsidR="00193FAA" w:rsidRPr="00B46270" w:rsidRDefault="0093563C" w:rsidP="00193FAA">
      <w:pPr>
        <w:spacing w:after="0" w:line="240" w:lineRule="auto"/>
        <w:jc w:val="both"/>
        <w:rPr>
          <w:rFonts w:asciiTheme="majorBidi" w:hAnsiTheme="majorBidi" w:cstheme="majorBidi"/>
          <w:sz w:val="24"/>
          <w:szCs w:val="24"/>
        </w:rPr>
      </w:pPr>
      <w:r w:rsidRPr="00B46270">
        <w:rPr>
          <w:rFonts w:asciiTheme="majorBidi" w:hAnsiTheme="majorBidi" w:cstheme="majorBidi"/>
          <w:sz w:val="24"/>
          <w:szCs w:val="24"/>
          <w:vertAlign w:val="superscript"/>
        </w:rPr>
        <w:t>4</w:t>
      </w:r>
      <w:r w:rsidRPr="00B46270">
        <w:rPr>
          <w:rFonts w:asciiTheme="majorBidi" w:hAnsiTheme="majorBidi" w:cstheme="majorBidi"/>
          <w:sz w:val="24"/>
          <w:szCs w:val="24"/>
        </w:rPr>
        <w:t xml:space="preserve">Nanotechnology Department, Environmental Studies and Research Institute, University of Sadat City, </w:t>
      </w:r>
      <w:r w:rsidR="00193FAA" w:rsidRPr="00B46270">
        <w:rPr>
          <w:rFonts w:asciiTheme="majorBidi" w:hAnsiTheme="majorBidi" w:cstheme="majorBidi"/>
          <w:sz w:val="24"/>
          <w:szCs w:val="24"/>
        </w:rPr>
        <w:t xml:space="preserve">Sadat City, </w:t>
      </w:r>
      <w:proofErr w:type="spellStart"/>
      <w:r w:rsidR="00193FAA" w:rsidRPr="00B46270">
        <w:rPr>
          <w:rFonts w:asciiTheme="majorBidi" w:hAnsiTheme="majorBidi" w:cstheme="majorBidi"/>
          <w:sz w:val="24"/>
          <w:szCs w:val="24"/>
        </w:rPr>
        <w:t>Minufiya</w:t>
      </w:r>
      <w:proofErr w:type="spellEnd"/>
      <w:r w:rsidR="00193FAA" w:rsidRPr="00B46270">
        <w:rPr>
          <w:rFonts w:asciiTheme="majorBidi" w:hAnsiTheme="majorBidi" w:cstheme="majorBidi"/>
          <w:sz w:val="24"/>
          <w:szCs w:val="24"/>
        </w:rPr>
        <w:t xml:space="preserve"> 32897, Egypt</w:t>
      </w:r>
    </w:p>
    <w:p w14:paraId="22C9B4CC" w14:textId="5D304029" w:rsidR="000F7CEB" w:rsidRPr="00B46270" w:rsidRDefault="000F7CEB" w:rsidP="00193FAA">
      <w:pPr>
        <w:spacing w:after="0" w:line="240" w:lineRule="auto"/>
        <w:jc w:val="both"/>
      </w:pPr>
      <w:r w:rsidRPr="00B46270">
        <w:rPr>
          <w:rFonts w:asciiTheme="majorBidi" w:hAnsiTheme="majorBidi" w:cstheme="majorBidi"/>
          <w:b/>
          <w:bCs/>
          <w:sz w:val="24"/>
          <w:szCs w:val="24"/>
        </w:rPr>
        <w:t>Corresponding authors:</w:t>
      </w:r>
      <w:r w:rsidRPr="00B46270">
        <w:rPr>
          <w:rFonts w:asciiTheme="majorBidi" w:hAnsiTheme="majorBidi" w:cstheme="majorBidi"/>
          <w:sz w:val="24"/>
          <w:szCs w:val="24"/>
        </w:rPr>
        <w:t xml:space="preserve"> </w:t>
      </w:r>
      <w:r w:rsidRPr="00B46270">
        <w:rPr>
          <w:rFonts w:asciiTheme="majorBidi" w:hAnsiTheme="majorBidi" w:cstheme="majorBidi"/>
          <w:i/>
          <w:iCs/>
          <w:sz w:val="24"/>
          <w:szCs w:val="24"/>
        </w:rPr>
        <w:t>Walaa A. Shaltout</w:t>
      </w:r>
      <w:r w:rsidRPr="00B46270">
        <w:rPr>
          <w:rFonts w:asciiTheme="majorBidi" w:hAnsiTheme="majorBidi" w:cstheme="majorBidi"/>
          <w:sz w:val="24"/>
          <w:szCs w:val="24"/>
        </w:rPr>
        <w:t xml:space="preserve"> (walaa.abdelaal@esri.usc.edu.eg)</w:t>
      </w:r>
    </w:p>
    <w:p w14:paraId="1223CBD1" w14:textId="77777777" w:rsidR="00E6326F" w:rsidRPr="00B46270" w:rsidRDefault="00E6326F" w:rsidP="0093563C">
      <w:pPr>
        <w:spacing w:after="0" w:line="240" w:lineRule="auto"/>
        <w:jc w:val="both"/>
        <w:rPr>
          <w:rFonts w:asciiTheme="majorBidi" w:hAnsiTheme="majorBidi" w:cstheme="majorBidi"/>
          <w:sz w:val="24"/>
          <w:szCs w:val="24"/>
        </w:rPr>
      </w:pPr>
    </w:p>
    <w:p w14:paraId="3F210688" w14:textId="41AF1EAE" w:rsidR="002A3EE0" w:rsidRPr="00B46270" w:rsidRDefault="000C0F30" w:rsidP="002A3EE0">
      <w:pPr>
        <w:tabs>
          <w:tab w:val="left" w:pos="930"/>
        </w:tabs>
        <w:rPr>
          <w:rFonts w:ascii="Times New Roman" w:hAnsi="Times New Roman" w:cs="Times New Roman"/>
          <w:b/>
          <w:bCs/>
          <w:sz w:val="24"/>
          <w:szCs w:val="24"/>
        </w:rPr>
      </w:pPr>
      <w:r w:rsidRPr="00B46270">
        <w:rPr>
          <w:rFonts w:ascii="Times New Roman" w:hAnsi="Times New Roman" w:cs="Times New Roman"/>
          <w:b/>
          <w:bCs/>
          <w:sz w:val="24"/>
          <w:szCs w:val="24"/>
        </w:rPr>
        <w:t>1</w:t>
      </w:r>
      <w:r w:rsidR="00E6326F" w:rsidRPr="00B46270">
        <w:rPr>
          <w:rFonts w:ascii="Times New Roman" w:hAnsi="Times New Roman" w:cs="Times New Roman"/>
          <w:b/>
          <w:bCs/>
          <w:sz w:val="24"/>
          <w:szCs w:val="24"/>
        </w:rPr>
        <w:t>.</w:t>
      </w:r>
      <w:r w:rsidRPr="00B46270">
        <w:rPr>
          <w:rFonts w:ascii="Times New Roman" w:hAnsi="Times New Roman" w:cs="Times New Roman"/>
          <w:b/>
          <w:bCs/>
          <w:sz w:val="24"/>
          <w:szCs w:val="24"/>
        </w:rPr>
        <w:t xml:space="preserve"> </w:t>
      </w:r>
      <w:r w:rsidR="002A3EE0" w:rsidRPr="00B46270">
        <w:rPr>
          <w:rFonts w:ascii="Times New Roman" w:hAnsi="Times New Roman" w:cs="Times New Roman"/>
          <w:b/>
          <w:bCs/>
          <w:sz w:val="24"/>
          <w:szCs w:val="24"/>
        </w:rPr>
        <w:t xml:space="preserve">Mechanism of 2,4-D adsorption onto </w:t>
      </w:r>
      <w:r w:rsidR="002A3EE0" w:rsidRPr="00B46270">
        <w:rPr>
          <w:rFonts w:asciiTheme="majorBidi" w:hAnsiTheme="majorBidi" w:cstheme="majorBidi"/>
          <w:b/>
          <w:bCs/>
          <w:sz w:val="24"/>
          <w:szCs w:val="24"/>
        </w:rPr>
        <w:t>Ag@CNFL:</w:t>
      </w:r>
    </w:p>
    <w:p w14:paraId="0DD11C39" w14:textId="0076E760" w:rsidR="002342BB" w:rsidRPr="00B46270" w:rsidRDefault="002342BB" w:rsidP="002A3EE0">
      <w:pPr>
        <w:spacing w:line="360" w:lineRule="auto"/>
        <w:jc w:val="both"/>
        <w:rPr>
          <w:rFonts w:asciiTheme="majorBidi" w:hAnsiTheme="majorBidi" w:cstheme="majorBidi"/>
          <w:sz w:val="24"/>
          <w:szCs w:val="24"/>
        </w:rPr>
      </w:pPr>
      <w:r w:rsidRPr="00B46270">
        <w:rPr>
          <w:rFonts w:asciiTheme="majorBidi" w:hAnsiTheme="majorBidi" w:cstheme="majorBidi"/>
          <w:sz w:val="24"/>
          <w:szCs w:val="24"/>
        </w:rPr>
        <w:t xml:space="preserve">  </w:t>
      </w:r>
      <w:r w:rsidR="002A3EE0" w:rsidRPr="00B46270">
        <w:rPr>
          <w:rFonts w:asciiTheme="majorBidi" w:hAnsiTheme="majorBidi" w:cstheme="majorBidi"/>
          <w:sz w:val="24"/>
          <w:szCs w:val="24"/>
        </w:rPr>
        <w:t xml:space="preserve"> </w:t>
      </w:r>
      <w:r w:rsidR="00B50E4A" w:rsidRPr="00B46270">
        <w:rPr>
          <w:rFonts w:asciiTheme="majorBidi" w:hAnsiTheme="majorBidi" w:cstheme="majorBidi"/>
          <w:sz w:val="24"/>
          <w:szCs w:val="24"/>
        </w:rPr>
        <w:t xml:space="preserve">Based on the described findings, the possible 2,4-D adsorption mechanism onto Ag@CNFL </w:t>
      </w:r>
      <w:r w:rsidR="00B241BB" w:rsidRPr="00B46270">
        <w:rPr>
          <w:rFonts w:asciiTheme="majorBidi" w:hAnsiTheme="majorBidi" w:cstheme="majorBidi"/>
          <w:sz w:val="24"/>
          <w:szCs w:val="24"/>
        </w:rPr>
        <w:t xml:space="preserve">was projected </w:t>
      </w:r>
      <w:r w:rsidR="00B50E4A" w:rsidRPr="00B46270">
        <w:rPr>
          <w:rFonts w:asciiTheme="majorBidi" w:hAnsiTheme="majorBidi" w:cstheme="majorBidi"/>
          <w:sz w:val="24"/>
          <w:szCs w:val="24"/>
        </w:rPr>
        <w:t xml:space="preserve">using </w:t>
      </w:r>
      <w:r w:rsidR="00B241BB" w:rsidRPr="00B46270">
        <w:rPr>
          <w:rFonts w:asciiTheme="majorBidi" w:hAnsiTheme="majorBidi" w:cstheme="majorBidi"/>
          <w:sz w:val="24"/>
          <w:szCs w:val="24"/>
        </w:rPr>
        <w:t>characterization</w:t>
      </w:r>
      <w:r w:rsidR="00B50E4A" w:rsidRPr="00B46270">
        <w:rPr>
          <w:rFonts w:asciiTheme="majorBidi" w:hAnsiTheme="majorBidi" w:cstheme="majorBidi"/>
          <w:sz w:val="24"/>
          <w:szCs w:val="24"/>
        </w:rPr>
        <w:t xml:space="preserve"> and adsorption data</w:t>
      </w:r>
      <w:r w:rsidRPr="00B46270">
        <w:rPr>
          <w:rFonts w:asciiTheme="majorBidi" w:hAnsiTheme="majorBidi" w:cstheme="majorBidi"/>
          <w:sz w:val="24"/>
          <w:szCs w:val="24"/>
        </w:rPr>
        <w:t xml:space="preserve"> as </w:t>
      </w:r>
      <w:r w:rsidR="00B50E4A" w:rsidRPr="00B46270">
        <w:rPr>
          <w:rFonts w:asciiTheme="majorBidi" w:hAnsiTheme="majorBidi" w:cstheme="majorBidi"/>
          <w:sz w:val="24"/>
          <w:szCs w:val="24"/>
        </w:rPr>
        <w:t xml:space="preserve">shown graphically in Fig. </w:t>
      </w:r>
      <w:r w:rsidR="0088799D" w:rsidRPr="00B46270">
        <w:rPr>
          <w:rFonts w:asciiTheme="majorBidi" w:hAnsiTheme="majorBidi" w:cstheme="majorBidi"/>
          <w:sz w:val="24"/>
          <w:szCs w:val="24"/>
        </w:rPr>
        <w:t>S1</w:t>
      </w:r>
      <w:r w:rsidR="00B50E4A" w:rsidRPr="00B46270">
        <w:rPr>
          <w:rFonts w:asciiTheme="majorBidi" w:hAnsiTheme="majorBidi" w:cstheme="majorBidi"/>
          <w:sz w:val="24"/>
          <w:szCs w:val="24"/>
        </w:rPr>
        <w:t>. The electrostatic interaction between the positively charged functional groups (Ni</w:t>
      </w:r>
      <w:r w:rsidR="00B50E4A" w:rsidRPr="00B46270">
        <w:rPr>
          <w:rFonts w:asciiTheme="majorBidi" w:hAnsiTheme="majorBidi" w:cstheme="majorBidi"/>
          <w:sz w:val="24"/>
          <w:szCs w:val="24"/>
          <w:vertAlign w:val="superscript"/>
        </w:rPr>
        <w:t>2+</w:t>
      </w:r>
      <w:r w:rsidR="00B50E4A" w:rsidRPr="00B46270">
        <w:rPr>
          <w:rFonts w:asciiTheme="majorBidi" w:hAnsiTheme="majorBidi" w:cstheme="majorBidi"/>
          <w:sz w:val="24"/>
          <w:szCs w:val="24"/>
        </w:rPr>
        <w:t>, Fe</w:t>
      </w:r>
      <w:r w:rsidR="00B50E4A" w:rsidRPr="00B46270">
        <w:rPr>
          <w:rFonts w:asciiTheme="majorBidi" w:hAnsiTheme="majorBidi" w:cstheme="majorBidi"/>
          <w:sz w:val="24"/>
          <w:szCs w:val="24"/>
          <w:vertAlign w:val="superscript"/>
        </w:rPr>
        <w:t>3-,</w:t>
      </w:r>
      <w:r w:rsidR="00B50E4A" w:rsidRPr="00B46270">
        <w:rPr>
          <w:rFonts w:asciiTheme="majorBidi" w:hAnsiTheme="majorBidi" w:cstheme="majorBidi"/>
          <w:sz w:val="24"/>
          <w:szCs w:val="24"/>
        </w:rPr>
        <w:t xml:space="preserve"> and Cd</w:t>
      </w:r>
      <w:r w:rsidR="00B50E4A" w:rsidRPr="00B46270">
        <w:rPr>
          <w:rFonts w:asciiTheme="majorBidi" w:hAnsiTheme="majorBidi" w:cstheme="majorBidi"/>
          <w:sz w:val="24"/>
          <w:szCs w:val="24"/>
          <w:vertAlign w:val="superscript"/>
        </w:rPr>
        <w:t>2+</w:t>
      </w:r>
      <w:r w:rsidR="00B50E4A" w:rsidRPr="00B46270">
        <w:rPr>
          <w:rFonts w:asciiTheme="majorBidi" w:hAnsiTheme="majorBidi" w:cstheme="majorBidi"/>
          <w:sz w:val="24"/>
          <w:szCs w:val="24"/>
        </w:rPr>
        <w:t>) present in Ag@CNFL and –COO</w:t>
      </w:r>
      <w:r w:rsidR="00B50E4A" w:rsidRPr="00B46270">
        <w:rPr>
          <w:rFonts w:asciiTheme="majorBidi" w:hAnsiTheme="majorBidi" w:cstheme="majorBidi"/>
          <w:sz w:val="24"/>
          <w:szCs w:val="24"/>
          <w:vertAlign w:val="superscript"/>
        </w:rPr>
        <w:t>-</w:t>
      </w:r>
      <w:r w:rsidR="00B50E4A" w:rsidRPr="00B46270">
        <w:rPr>
          <w:rFonts w:asciiTheme="majorBidi" w:hAnsiTheme="majorBidi" w:cstheme="majorBidi"/>
          <w:sz w:val="24"/>
          <w:szCs w:val="24"/>
        </w:rPr>
        <w:t xml:space="preserve"> from 2,4-D </w:t>
      </w:r>
      <w:r w:rsidR="00B241BB" w:rsidRPr="00B46270">
        <w:rPr>
          <w:rFonts w:asciiTheme="majorBidi" w:hAnsiTheme="majorBidi" w:cstheme="majorBidi"/>
          <w:sz w:val="24"/>
          <w:szCs w:val="24"/>
        </w:rPr>
        <w:t xml:space="preserve">moieties </w:t>
      </w:r>
      <w:r w:rsidR="00B50E4A" w:rsidRPr="00B46270">
        <w:rPr>
          <w:rFonts w:asciiTheme="majorBidi" w:hAnsiTheme="majorBidi" w:cstheme="majorBidi"/>
          <w:sz w:val="24"/>
          <w:szCs w:val="24"/>
        </w:rPr>
        <w:t xml:space="preserve">was enhanced in the adsorption tests by using a lower pH </w:t>
      </w:r>
      <w:r w:rsidR="00B241BB" w:rsidRPr="00B46270">
        <w:rPr>
          <w:rFonts w:asciiTheme="majorBidi" w:hAnsiTheme="majorBidi" w:cstheme="majorBidi"/>
          <w:sz w:val="24"/>
          <w:szCs w:val="24"/>
        </w:rPr>
        <w:t xml:space="preserve">of </w:t>
      </w:r>
      <w:r w:rsidR="00B50E4A" w:rsidRPr="00B46270">
        <w:rPr>
          <w:rFonts w:asciiTheme="majorBidi" w:hAnsiTheme="majorBidi" w:cstheme="majorBidi"/>
          <w:sz w:val="24"/>
          <w:szCs w:val="24"/>
        </w:rPr>
        <w:t xml:space="preserve">2. The pore-filling action was facilitated by the presence of adsorbent pores. Adsorption </w:t>
      </w:r>
      <w:r w:rsidR="00B241BB" w:rsidRPr="00B46270">
        <w:rPr>
          <w:rFonts w:asciiTheme="majorBidi" w:hAnsiTheme="majorBidi" w:cstheme="majorBidi"/>
          <w:sz w:val="24"/>
          <w:szCs w:val="24"/>
        </w:rPr>
        <w:t>was facilitated through</w:t>
      </w:r>
      <w:r w:rsidR="00B50E4A" w:rsidRPr="00B46270">
        <w:rPr>
          <w:rFonts w:asciiTheme="majorBidi" w:hAnsiTheme="majorBidi" w:cstheme="majorBidi"/>
          <w:sz w:val="24"/>
          <w:szCs w:val="24"/>
        </w:rPr>
        <w:t xml:space="preserve"> interactions such as </w:t>
      </w:r>
      <w:r w:rsidR="00B241BB" w:rsidRPr="00B46270">
        <w:rPr>
          <w:rFonts w:asciiTheme="majorBidi" w:hAnsiTheme="majorBidi" w:cstheme="majorBidi"/>
          <w:sz w:val="24"/>
          <w:szCs w:val="24"/>
        </w:rPr>
        <w:t>π-π stacking between the benzene rings and –OH of Ag@CNFL, hydrogen bonding between –OH in each other, chlorine bonding (donor-acceptor interaction) between –OH of Ag@CNFL and chlorine atoms in 2,4-</w:t>
      </w:r>
      <w:proofErr w:type="gramStart"/>
      <w:r w:rsidR="00B241BB" w:rsidRPr="00B46270">
        <w:rPr>
          <w:rFonts w:asciiTheme="majorBidi" w:hAnsiTheme="majorBidi" w:cstheme="majorBidi"/>
          <w:sz w:val="24"/>
          <w:szCs w:val="24"/>
        </w:rPr>
        <w:t>D, and</w:t>
      </w:r>
      <w:proofErr w:type="gramEnd"/>
      <w:r w:rsidR="00B241BB" w:rsidRPr="00B46270">
        <w:rPr>
          <w:rFonts w:asciiTheme="majorBidi" w:hAnsiTheme="majorBidi" w:cstheme="majorBidi"/>
          <w:sz w:val="24"/>
          <w:szCs w:val="24"/>
        </w:rPr>
        <w:t xml:space="preserve"> van der Waals force with 2,4-D molecules. </w:t>
      </w:r>
      <w:r w:rsidRPr="00B46270">
        <w:rPr>
          <w:rFonts w:asciiTheme="majorBidi" w:hAnsiTheme="majorBidi" w:cstheme="majorBidi"/>
          <w:sz w:val="24"/>
          <w:szCs w:val="24"/>
        </w:rPr>
        <w:t>In conclusion, the physical adsorption mechanism showed the strong capacity of Ag@CNFL for the removal of 2,4-D from aqueous solution.</w:t>
      </w:r>
      <w:r w:rsidR="00CD6DE2" w:rsidRPr="00B46270">
        <w:rPr>
          <w:rFonts w:asciiTheme="majorBidi" w:hAnsiTheme="majorBidi" w:cstheme="majorBidi"/>
          <w:sz w:val="24"/>
          <w:szCs w:val="24"/>
        </w:rPr>
        <w:t xml:space="preserve"> </w:t>
      </w:r>
      <w:r w:rsidRPr="00B46270">
        <w:rPr>
          <w:rFonts w:asciiTheme="majorBidi" w:hAnsiTheme="majorBidi" w:cstheme="majorBidi"/>
          <w:sz w:val="24"/>
          <w:szCs w:val="24"/>
        </w:rPr>
        <w:t>Similar kind</w:t>
      </w:r>
      <w:r w:rsidR="00CD6DE2" w:rsidRPr="00B46270">
        <w:rPr>
          <w:rFonts w:asciiTheme="majorBidi" w:hAnsiTheme="majorBidi" w:cstheme="majorBidi"/>
          <w:sz w:val="24"/>
          <w:szCs w:val="24"/>
        </w:rPr>
        <w:t>s</w:t>
      </w:r>
      <w:r w:rsidRPr="00B46270">
        <w:rPr>
          <w:rFonts w:asciiTheme="majorBidi" w:hAnsiTheme="majorBidi" w:cstheme="majorBidi"/>
          <w:sz w:val="24"/>
          <w:szCs w:val="24"/>
        </w:rPr>
        <w:t xml:space="preserve"> of </w:t>
      </w:r>
      <w:r w:rsidR="00CD6DE2" w:rsidRPr="00B46270">
        <w:rPr>
          <w:rFonts w:asciiTheme="majorBidi" w:hAnsiTheme="majorBidi" w:cstheme="majorBidi"/>
          <w:sz w:val="24"/>
          <w:szCs w:val="24"/>
        </w:rPr>
        <w:t>mechanisms</w:t>
      </w:r>
      <w:r w:rsidRPr="00B46270">
        <w:rPr>
          <w:rFonts w:asciiTheme="majorBidi" w:hAnsiTheme="majorBidi" w:cstheme="majorBidi"/>
          <w:sz w:val="24"/>
          <w:szCs w:val="24"/>
        </w:rPr>
        <w:t xml:space="preserve"> </w:t>
      </w:r>
      <w:r w:rsidR="00CD6DE2" w:rsidRPr="00B46270">
        <w:rPr>
          <w:rFonts w:asciiTheme="majorBidi" w:hAnsiTheme="majorBidi" w:cstheme="majorBidi"/>
          <w:sz w:val="24"/>
          <w:szCs w:val="24"/>
        </w:rPr>
        <w:t>have</w:t>
      </w:r>
      <w:r w:rsidRPr="00B46270">
        <w:rPr>
          <w:rFonts w:asciiTheme="majorBidi" w:hAnsiTheme="majorBidi" w:cstheme="majorBidi"/>
          <w:sz w:val="24"/>
          <w:szCs w:val="24"/>
        </w:rPr>
        <w:t xml:space="preserve"> been </w:t>
      </w:r>
      <w:r w:rsidR="00CD6DE2" w:rsidRPr="00B46270">
        <w:rPr>
          <w:rFonts w:asciiTheme="majorBidi" w:hAnsiTheme="majorBidi" w:cstheme="majorBidi"/>
          <w:sz w:val="24"/>
          <w:szCs w:val="24"/>
        </w:rPr>
        <w:t>stated</w:t>
      </w:r>
      <w:r w:rsidRPr="00B46270">
        <w:rPr>
          <w:rFonts w:asciiTheme="majorBidi" w:hAnsiTheme="majorBidi" w:cstheme="majorBidi"/>
          <w:sz w:val="24"/>
          <w:szCs w:val="24"/>
        </w:rPr>
        <w:t xml:space="preserve"> for the </w:t>
      </w:r>
      <w:r w:rsidR="00CD6DE2" w:rsidRPr="00B46270">
        <w:rPr>
          <w:rFonts w:asciiTheme="majorBidi" w:hAnsiTheme="majorBidi" w:cstheme="majorBidi"/>
          <w:sz w:val="24"/>
          <w:szCs w:val="24"/>
        </w:rPr>
        <w:t xml:space="preserve">2,4-D </w:t>
      </w:r>
      <w:r w:rsidRPr="00B46270">
        <w:rPr>
          <w:rFonts w:asciiTheme="majorBidi" w:hAnsiTheme="majorBidi" w:cstheme="majorBidi"/>
          <w:sz w:val="24"/>
          <w:szCs w:val="24"/>
        </w:rPr>
        <w:t xml:space="preserve">removal </w:t>
      </w:r>
      <w:r w:rsidR="00CD6DE2" w:rsidRPr="00B46270">
        <w:rPr>
          <w:rFonts w:asciiTheme="majorBidi" w:hAnsiTheme="majorBidi" w:cstheme="majorBidi"/>
          <w:sz w:val="24"/>
          <w:szCs w:val="24"/>
        </w:rPr>
        <w:t>by</w:t>
      </w:r>
      <w:r w:rsidRPr="00B46270">
        <w:rPr>
          <w:rFonts w:asciiTheme="majorBidi" w:hAnsiTheme="majorBidi" w:cstheme="majorBidi"/>
          <w:sz w:val="24"/>
          <w:szCs w:val="24"/>
        </w:rPr>
        <w:t xml:space="preserve"> many adsorbents</w:t>
      </w:r>
      <w:r w:rsidR="00CD6DE2" w:rsidRPr="00B46270">
        <w:rPr>
          <w:rFonts w:asciiTheme="majorBidi" w:hAnsiTheme="majorBidi" w:cstheme="majorBidi"/>
          <w:sz w:val="24"/>
          <w:szCs w:val="24"/>
        </w:rPr>
        <w:t xml:space="preserve"> such as</w:t>
      </w:r>
      <w:r w:rsidRPr="00B46270">
        <w:rPr>
          <w:rFonts w:asciiTheme="majorBidi" w:hAnsiTheme="majorBidi" w:cstheme="majorBidi"/>
          <w:sz w:val="24"/>
          <w:szCs w:val="24"/>
        </w:rPr>
        <w:t xml:space="preserve"> biochar prepared from </w:t>
      </w:r>
      <w:proofErr w:type="spellStart"/>
      <w:r w:rsidRPr="00B46270">
        <w:rPr>
          <w:rFonts w:asciiTheme="majorBidi" w:hAnsiTheme="majorBidi" w:cstheme="majorBidi"/>
          <w:i/>
          <w:iCs/>
          <w:sz w:val="24"/>
          <w:szCs w:val="24"/>
        </w:rPr>
        <w:t>Vateria</w:t>
      </w:r>
      <w:proofErr w:type="spellEnd"/>
      <w:r w:rsidRPr="00B46270">
        <w:rPr>
          <w:rFonts w:asciiTheme="majorBidi" w:hAnsiTheme="majorBidi" w:cstheme="majorBidi"/>
          <w:i/>
          <w:iCs/>
          <w:sz w:val="24"/>
          <w:szCs w:val="24"/>
        </w:rPr>
        <w:t xml:space="preserve"> indica</w:t>
      </w:r>
      <w:r w:rsidRPr="00B46270">
        <w:rPr>
          <w:rFonts w:asciiTheme="majorBidi" w:hAnsiTheme="majorBidi" w:cstheme="majorBidi"/>
          <w:sz w:val="24"/>
          <w:szCs w:val="24"/>
        </w:rPr>
        <w:t xml:space="preserve"> fruit biomass </w:t>
      </w:r>
      <w:r w:rsidR="0065723C" w:rsidRPr="00B46270">
        <w:rPr>
          <w:rFonts w:asciiTheme="majorBidi" w:hAnsiTheme="majorBidi" w:cstheme="majorBidi"/>
          <w:color w:val="0070C0"/>
          <w:sz w:val="24"/>
          <w:szCs w:val="24"/>
        </w:rPr>
        <w:fldChar w:fldCharType="begin" w:fldLock="1"/>
      </w:r>
      <w:r w:rsidR="00813493" w:rsidRPr="00B46270">
        <w:rPr>
          <w:rFonts w:asciiTheme="majorBidi" w:hAnsiTheme="majorBidi" w:cstheme="majorBidi"/>
          <w:color w:val="0070C0"/>
          <w:sz w:val="24"/>
          <w:szCs w:val="24"/>
        </w:rPr>
        <w:instrText>ADDIN CSL_CITATION {"citationItems":[{"id":"ITEM-1","itemData":{"DOI":"10.1016/j.chemosphere.2024.141130","ISSN":"18791298","PMID":"38185425","abstract":"The adsorption properties of 2,4-Dichlorophenoxyacetic acid (2,4-D) onto biochar, obtained through HCl-assisted hydrothermal carbonization process of Vateria indica fruits (VI-BC), were extensively studied using traditional and statistical physics approaches. The traditional adsorption investigations encompassed kinetics, equilibrium, and thermodynamics studies. Subsequently, the Hill statistical physics model was employed to interpret the mechanism. Also, artificial neural network (ANN) and adaptive neuro-fuzzy inference system (ANFIS) machine learning tools were successfully employed to model the adsorption data wherein both models had high prediction potential (R2 &gt; 0.99). The outcomes demonstrated that the produced VI-BC exhibited remarkable adsorptive traits, having a considerable specific surface area (111.54 m2/g), pore size (5.89 nm), a variety of functional groups, and appropriate attributes for efficiently adsorbing 2,4-D. For 10 mg/L 2,4-D, at pH 2.0 and with 0.3 g/L dose, an impressive 91.67% adsorption efficiency was achieved within a 120-min. Pseudo-second-order model aptly depicted the kinetic behavior of 2,4-D adsorption, while the Freundlich model provided a more accurate representation of the isotherms. 2,4-D maximum adsorption capacity stood at 131.39 mg/g at 303 K. The Hill statistical physics model elucidated that the adsorption primarily occurred via physisorption mechanisms, involving electrostatic attractions, π-π conjugation, and pore filling. This conclusion was further substantiated by post-adsorption characterization of the VI-BC. Thermodynamic analysis indicated that the interactions between VI-BC and 2,4-D were favorable, spontaneous, and exothermic. The calculated low energy of adsorption (1.255 kJ/mol) and ΔH° value (−20.49 kJ/mol) further supported physisorption as the dominant mechanism. In summary, this study underscores the significant potential of the newly developed biochar as a promising alternative material for efficiently removing the 2,4-D herbicide from polluted environments.","author":[{"dropping-particle":"","family":"Vinayagam","given":"Ramesh","non-dropping-particle":"","parse-names":false,"suffix":""},{"dropping-particle":"","family":"Nagendran","given":"Vasundra","non-dropping-particle":"","parse-names":false,"suffix":""},{"dropping-particle":"","family":"Goveas","given":"Louella Concepta","non-dropping-particle":"","parse-names":false,"suffix":""},{"dropping-particle":"","family":"Narasimhan","given":"Manoj Kumar","non-dropping-particle":"","parse-names":false,"suffix":""},{"dropping-particle":"","family":"Varadavenkatesan","given":"Thivaharan","non-dropping-particle":"","parse-names":false,"suffix":""},{"dropping-particle":"","family":"Samanth","given":"Adithya","non-dropping-particle":"","parse-names":false,"suffix":""},{"dropping-particle":"","family":"Selvaraj","given":"Raja","non-dropping-particle":"","parse-names":false,"suffix":""}],"container-title":"Chemosphere","id":"ITEM-1","issue":"November 2023","issued":{"date-parts":[["2024"]]},"page":"141130","publisher":"Elsevier Ltd","title":"Machine learning, conventional and statistical physics modeling of 2,4-Dichlorophenoxyacetic acid (2,4-D) herbicide removal using biochar prepared from Vateria indica fruit biomass","type":"article-journal","volume":"350"},"uris":["http://www.mendeley.com/documents/?uuid=eb0d6fe1-976e-46ea-8c71-1819020af1cc"]}],"mendeley":{"formattedCitation":"&lt;sup&gt;1&lt;/sup&gt;","plainTextFormattedCitation":"1","previouslyFormattedCitation":"&lt;sup&gt;1&lt;/sup&gt;"},"properties":{"noteIndex":0},"schema":"https://github.com/citation-style-language/schema/raw/master/csl-citation.json"}</w:instrText>
      </w:r>
      <w:r w:rsidR="0065723C" w:rsidRPr="00B46270">
        <w:rPr>
          <w:rFonts w:asciiTheme="majorBidi" w:hAnsiTheme="majorBidi" w:cstheme="majorBidi"/>
          <w:color w:val="0070C0"/>
          <w:sz w:val="24"/>
          <w:szCs w:val="24"/>
        </w:rPr>
        <w:fldChar w:fldCharType="separate"/>
      </w:r>
      <w:r w:rsidR="005F0C92" w:rsidRPr="00B46270">
        <w:rPr>
          <w:rFonts w:asciiTheme="majorBidi" w:hAnsiTheme="majorBidi" w:cstheme="majorBidi"/>
          <w:noProof/>
          <w:color w:val="0070C0"/>
          <w:sz w:val="24"/>
          <w:szCs w:val="24"/>
          <w:vertAlign w:val="superscript"/>
        </w:rPr>
        <w:t>1</w:t>
      </w:r>
      <w:r w:rsidR="0065723C" w:rsidRPr="00B46270">
        <w:rPr>
          <w:rFonts w:asciiTheme="majorBidi" w:hAnsiTheme="majorBidi" w:cstheme="majorBidi"/>
          <w:color w:val="0070C0"/>
          <w:sz w:val="24"/>
          <w:szCs w:val="24"/>
        </w:rPr>
        <w:fldChar w:fldCharType="end"/>
      </w:r>
      <w:r w:rsidR="0065723C" w:rsidRPr="00B46270">
        <w:rPr>
          <w:rFonts w:asciiTheme="majorBidi" w:hAnsiTheme="majorBidi" w:cstheme="majorBidi"/>
          <w:sz w:val="24"/>
          <w:szCs w:val="24"/>
        </w:rPr>
        <w:t xml:space="preserve">,  biomass derived magnetic activated carbon nanocomposite </w:t>
      </w:r>
      <w:r w:rsidR="0065723C" w:rsidRPr="00B46270">
        <w:rPr>
          <w:rFonts w:asciiTheme="majorBidi" w:hAnsiTheme="majorBidi" w:cstheme="majorBidi"/>
          <w:color w:val="0070C0"/>
          <w:sz w:val="24"/>
          <w:szCs w:val="24"/>
        </w:rPr>
        <w:fldChar w:fldCharType="begin" w:fldLock="1"/>
      </w:r>
      <w:r w:rsidR="00813493" w:rsidRPr="00B46270">
        <w:rPr>
          <w:rFonts w:asciiTheme="majorBidi" w:hAnsiTheme="majorBidi" w:cstheme="majorBidi"/>
          <w:color w:val="0070C0"/>
          <w:sz w:val="24"/>
          <w:szCs w:val="24"/>
        </w:rPr>
        <w:instrText>ADDIN CSL_CITATION {"citationItems":[{"id":"ITEM-1","itemData":{"DOI":"10.1016/j.chemosphere.2024.142513","ISSN":"18791298","PMID":"38830462","abstract":"This study focused on evaluating the efficacy of a magnetic activated carbon material (CPAC@Fe3O4) derived from pods of copper pod tree in adsorbing the toxic herbicide, 2,4- (2,4-D) from aqueous solutions. The synthesized CPAC@Fe3O4 adsorbent, underwent various characterization techniques. FESEM images indicated a rough surface, incorporating iron oxide nanoparticles, while EDS analysis confirmed the presence of elements like Fe, O, and C. Notably, the CPAC@Fe3O4 exhibited high surface area (749.10 m2/g) and pore volume (0.5351 cm³/g), confirming its mesoporous nature. XRD investigations identified distinct signals associated with graphitic carbon and magnetite nanoparticles, while VSM analysis verified its magnetic properties with a high magnetic saturation value (2.72 emu/g). The adsorption process was exothermic, with a decrease in adsorption capacity at higher temperatures. Freundlich isotherm provided the best fit for the adsorption, and the pseudo-second-order equation effectively described the kinetics. Remarkably, the maximum adsorption capacity ranged from 246.43 to 261.03 mg/g, surpassing previously reported values. The ΔH° value (−8.67 kJ/mol) suggested a physisorption mechanism, and the negative ΔG° values established the spontaneous nature. Furthermore, the synthesized adsorbent demonstrated exceptional reusability, allowing for up to five cycles of adsorption-desorption operations. When applied to simulated agricultural runoff, CPAC@Fe3O4 showcased a significant adsorption capacity of 160.71 mg/g for 50 mg/L 2,4-D, using a 0.2 g/L dosage at pH 2. This study showcased the transformation of copper pod biomass into a valuable magnetic nanoadsorbent capable of efficiently eliminating the noxious 2,4-D pollutant from aqueous environments.","author":[{"dropping-particle":"","family":"Samanth","given":"Adithya","non-dropping-particle":"","parse-names":false,"suffix":""},{"dropping-particle":"","family":"Selvaraj","given":"Raja","non-dropping-particle":"","parse-names":false,"suffix":""},{"dropping-particle":"","family":"Murugesan","given":"Gokulakrishnan","non-dropping-particle":"","parse-names":false,"suffix":""},{"dropping-particle":"","family":"Varadavenkatesan","given":"Thivaharan","non-dropping-particle":"","parse-names":false,"suffix":""},{"dropping-particle":"","family":"Vinayagam","given":"Ramesh","non-dropping-particle":"","parse-names":false,"suffix":""}],"container-title":"Chemosphere","id":"ITEM-1","issue":"February","issued":{"date-parts":[["2024"]]},"page":"142513","publisher":"Elsevier Ltd","title":"Efficient adsorptive removal of 2,4-dichlorophenoxyacetic acid (2,4-D) using biomass derived magnetic activated carbon nanocomposite in synthetic and simulated agricultural runoff water","type":"article-journal","volume":"361"},"uris":["http://www.mendeley.com/documents/?uuid=361c0a03-1b02-40bc-b134-e874f25c7ab8"]}],"mendeley":{"formattedCitation":"&lt;sup&gt;2&lt;/sup&gt;","plainTextFormattedCitation":"2","previouslyFormattedCitation":"&lt;sup&gt;2&lt;/sup&gt;"},"properties":{"noteIndex":0},"schema":"https://github.com/citation-style-language/schema/raw/master/csl-citation.json"}</w:instrText>
      </w:r>
      <w:r w:rsidR="0065723C" w:rsidRPr="00B46270">
        <w:rPr>
          <w:rFonts w:asciiTheme="majorBidi" w:hAnsiTheme="majorBidi" w:cstheme="majorBidi"/>
          <w:color w:val="0070C0"/>
          <w:sz w:val="24"/>
          <w:szCs w:val="24"/>
        </w:rPr>
        <w:fldChar w:fldCharType="separate"/>
      </w:r>
      <w:r w:rsidR="005F0C92" w:rsidRPr="00B46270">
        <w:rPr>
          <w:rFonts w:asciiTheme="majorBidi" w:hAnsiTheme="majorBidi" w:cstheme="majorBidi"/>
          <w:noProof/>
          <w:color w:val="0070C0"/>
          <w:sz w:val="24"/>
          <w:szCs w:val="24"/>
          <w:vertAlign w:val="superscript"/>
        </w:rPr>
        <w:t>2</w:t>
      </w:r>
      <w:r w:rsidR="0065723C" w:rsidRPr="00B46270">
        <w:rPr>
          <w:rFonts w:asciiTheme="majorBidi" w:hAnsiTheme="majorBidi" w:cstheme="majorBidi"/>
          <w:color w:val="0070C0"/>
          <w:sz w:val="24"/>
          <w:szCs w:val="24"/>
        </w:rPr>
        <w:fldChar w:fldCharType="end"/>
      </w:r>
      <w:r w:rsidR="0065723C" w:rsidRPr="00B46270">
        <w:rPr>
          <w:rFonts w:asciiTheme="majorBidi" w:hAnsiTheme="majorBidi" w:cstheme="majorBidi"/>
          <w:sz w:val="24"/>
          <w:szCs w:val="24"/>
        </w:rPr>
        <w:t xml:space="preserve">, </w:t>
      </w:r>
      <w:r w:rsidR="00CD6DE2" w:rsidRPr="00B46270">
        <w:rPr>
          <w:rFonts w:asciiTheme="majorBidi" w:hAnsiTheme="majorBidi" w:cstheme="majorBidi"/>
          <w:sz w:val="24"/>
          <w:szCs w:val="24"/>
        </w:rPr>
        <w:t xml:space="preserve"> nitrogen doped modified palm kernel shell </w:t>
      </w:r>
      <w:r w:rsidR="00CD6DE2" w:rsidRPr="00B46270">
        <w:rPr>
          <w:rFonts w:asciiTheme="majorBidi" w:hAnsiTheme="majorBidi" w:cstheme="majorBidi"/>
          <w:color w:val="0070C0"/>
          <w:sz w:val="24"/>
          <w:szCs w:val="24"/>
        </w:rPr>
        <w:fldChar w:fldCharType="begin" w:fldLock="1"/>
      </w:r>
      <w:r w:rsidR="00813493" w:rsidRPr="00B46270">
        <w:rPr>
          <w:rFonts w:asciiTheme="majorBidi" w:hAnsiTheme="majorBidi" w:cstheme="majorBidi"/>
          <w:color w:val="0070C0"/>
          <w:sz w:val="24"/>
          <w:szCs w:val="24"/>
        </w:rPr>
        <w:instrText>ADDIN CSL_CITATION {"citationItems":[{"id":"ITEM-1","itemData":{"DOI":"10.1016/j.molliq.2024.124754","ISSN":"01677322","abstract":"The 2,4-Dichlorophenoxyacetic acid (2,4-D) is extensively used herbicide to boost crop productivity by reducing weed and pest infestation in agricultural fields. Due to the high solubility, mobility and low biodegradability, the ubiquitous presence of 2,4-D in the soil, surface and underground water has become serious threat for environment and human health.The present study addresses removal of hazardous 2,4-D by melamine-modified palm kernel shell biochar. A thorough examination was carried out, encompassing proximate analysis, elemental analysis, X-Ray Diffraction (XRD), Fourier-Transform Infrared Spectroscopy (FTIR), Brunauer-Emmett-Teller (BET) analysis, particle size distribution assessment, SEM (Scanning Electron Microscopy), and TEM (Transmission Electron Microscopy). Additionally, a comparative analysis was conducted, comparing palm kernel shell powder with biochar activated by KOH. The melamine-modified biochar (PKS-BM) exhibited notable characteristics, including nitrogen composition of 4.2 %, enhanced surface groups, a BET surface area 794.70 m2/g, total pore volume 0.449 cm3/g, particle size of 1400 nm, and 85 % removal of 2,4-D. Adsorption kinetics were accurately described by both pseudo-second-order model. According to the Langmuir model, the adsorption process was favorable, demonstrating a maximum adsorption capacity 990.10 mg/g. Enthalpy, entropy, and Gibbs free energy were computed from adsorption data, revealing exothermic and thermodynamically spontaneous 2,4-D adsorption on PKS-BM. These findings confirm the suitability of the synthesized melamine-impregnated palm kernel shell biochar to be used as adsorbent for removal of toxic herbicide from contaminated water.","author":[{"dropping-particle":"","family":"Mohamed Flafel","given":"Hamza","non-dropping-particle":"","parse-names":false,"suffix":""},{"dropping-particle":"","family":"Rafatullah","given":"Mohd","non-dropping-particle":"","parse-names":false,"suffix":""},{"dropping-particle":"","family":"Lalung","given":"Japareng","non-dropping-particle":"","parse-names":false,"suffix":""},{"dropping-particle":"","family":"Thapar Kapoor","given":"Riti","non-dropping-particle":"","parse-names":false,"suffix":""},{"dropping-particle":"","family":"Raza Siddiqui","given":"Masoom","non-dropping-particle":"","parse-names":false,"suffix":""},{"dropping-particle":"","family":"Qutob","given":"Mohammad","non-dropping-particle":"","parse-names":false,"suffix":""}],"container-title":"Journal of Molecular Liquids","id":"ITEM-1","issue":"March","issued":{"date-parts":[["2024"]]},"page":"124754","publisher":"Elsevier B.V.","title":"Removal of 2,4-dichlorophenoxyacetic acid through nitrogen doped modified palm kernel shell from aqueous solutions","type":"article-journal","volume":"401"},"uris":["http://www.mendeley.com/documents/?uuid=07753ad4-1adf-4f55-825d-9ca4231fadfe"]}],"mendeley":{"formattedCitation":"&lt;sup&gt;3&lt;/sup&gt;","plainTextFormattedCitation":"3","previouslyFormattedCitation":"&lt;sup&gt;3&lt;/sup&gt;"},"properties":{"noteIndex":0},"schema":"https://github.com/citation-style-language/schema/raw/master/csl-citation.json"}</w:instrText>
      </w:r>
      <w:r w:rsidR="00CD6DE2" w:rsidRPr="00B46270">
        <w:rPr>
          <w:rFonts w:asciiTheme="majorBidi" w:hAnsiTheme="majorBidi" w:cstheme="majorBidi"/>
          <w:color w:val="0070C0"/>
          <w:sz w:val="24"/>
          <w:szCs w:val="24"/>
        </w:rPr>
        <w:fldChar w:fldCharType="separate"/>
      </w:r>
      <w:r w:rsidR="005F0C92" w:rsidRPr="00B46270">
        <w:rPr>
          <w:rFonts w:asciiTheme="majorBidi" w:hAnsiTheme="majorBidi" w:cstheme="majorBidi"/>
          <w:noProof/>
          <w:color w:val="0070C0"/>
          <w:sz w:val="24"/>
          <w:szCs w:val="24"/>
          <w:vertAlign w:val="superscript"/>
        </w:rPr>
        <w:t>3</w:t>
      </w:r>
      <w:r w:rsidR="00CD6DE2" w:rsidRPr="00B46270">
        <w:rPr>
          <w:rFonts w:asciiTheme="majorBidi" w:hAnsiTheme="majorBidi" w:cstheme="majorBidi"/>
          <w:color w:val="0070C0"/>
          <w:sz w:val="24"/>
          <w:szCs w:val="24"/>
        </w:rPr>
        <w:fldChar w:fldCharType="end"/>
      </w:r>
      <w:r w:rsidR="00CD6DE2" w:rsidRPr="00B46270">
        <w:rPr>
          <w:rFonts w:asciiTheme="majorBidi" w:hAnsiTheme="majorBidi" w:cstheme="majorBidi"/>
          <w:sz w:val="24"/>
          <w:szCs w:val="24"/>
        </w:rPr>
        <w:t xml:space="preserve">, and Fe–Zr-based metal-organic frameworks </w:t>
      </w:r>
      <w:r w:rsidR="00CD6DE2" w:rsidRPr="00B46270">
        <w:rPr>
          <w:rFonts w:asciiTheme="majorBidi" w:hAnsiTheme="majorBidi" w:cstheme="majorBidi"/>
          <w:color w:val="0070C0"/>
          <w:sz w:val="24"/>
          <w:szCs w:val="24"/>
        </w:rPr>
        <w:fldChar w:fldCharType="begin" w:fldLock="1"/>
      </w:r>
      <w:r w:rsidR="00813493" w:rsidRPr="00B46270">
        <w:rPr>
          <w:rFonts w:asciiTheme="majorBidi" w:hAnsiTheme="majorBidi" w:cstheme="majorBidi"/>
          <w:color w:val="0070C0"/>
          <w:sz w:val="24"/>
          <w:szCs w:val="24"/>
        </w:rPr>
        <w:instrText>ADDIN CSL_CITATION {"citationItems":[{"id":"ITEM-1","itemData":{"DOI":"10.1016/j.jece.2022.107472","ISSN":"22133437","abstract":"The removal of herbicides remains challenging because of the complex synthesis process and poor performance of the adsorbent. Herein, we proposed a facile hydrothermal method for the synthesis of Fe–Zr-based metal-organic frameworks (FZM), which featured porous structure and high surface area of 1003 m3 g−1 with abundant functional groups and unique surface charge. The maximum adsorption capacity of FZM toward 2,4-D was 357.14 mg g−1 after nonlinear adsorption isotherm models were fitted. The adsorption isotherms and kinetics of 2,4-D on the FZM conforms to Langmuir isothermal model and pseudo-second-order kinetic model respectively the adsorption mechanism was discussed based on the characterization, FT-IR and XPS analysis showed that the adsorption mechanism was mainly attributed to the hydrogen bonds between molecules, π-π conjugates and electrostatic attraction. Furthermore, the reuse performance and regeneration method of FZM were optimized through experiments. FZM could maintain 77% efficiency even after multiple cycles, and was less affected by the complex matrix. These results provide new insights into the adsorption of pesticides in water by novel MOF.","author":[{"dropping-particle":"","family":"Liu","given":"Bingyang","non-dropping-particle":"","parse-names":false,"suffix":""},{"dropping-particle":"","family":"Guo","given":"Niandong","non-dropping-particle":"","parse-names":false,"suffix":""},{"dropping-particle":"","family":"Wang","given":"Zhen","non-dropping-particle":"","parse-names":false,"suffix":""},{"dropping-particle":"","family":"Wang","given":"Yu","non-dropping-particle":"","parse-names":false,"suffix":""},{"dropping-particle":"","family":"Hao","given":"Xue","non-dropping-particle":"","parse-names":false,"suffix":""},{"dropping-particle":"","family":"Yang","given":"Zhilin","non-dropping-particle":"","parse-names":false,"suffix":""},{"dropping-particle":"","family":"Yang","given":"Qi","non-dropping-particle":"","parse-names":false,"suffix":""}],"container-title":"Journal of Environmental Chemical Engineering","id":"ITEM-1","issue":"3","issued":{"date-parts":[["2022"]]},"page":"107472","publisher":"Elsevier Ltd","title":"Adsorption of 2,4-dichlorophenoxyacetic acid over Fe–Zr-based metal-organic frameworks: Synthesis, characterization, kinetics, and mechanism studies","type":"article-journal","volume":"10"},"uris":["http://www.mendeley.com/documents/?uuid=092b8127-04c0-4c56-8d23-d47485fd6145"]}],"mendeley":{"formattedCitation":"&lt;sup&gt;4&lt;/sup&gt;","plainTextFormattedCitation":"4","previouslyFormattedCitation":"&lt;sup&gt;4&lt;/sup&gt;"},"properties":{"noteIndex":0},"schema":"https://github.com/citation-style-language/schema/raw/master/csl-citation.json"}</w:instrText>
      </w:r>
      <w:r w:rsidR="00CD6DE2" w:rsidRPr="00B46270">
        <w:rPr>
          <w:rFonts w:asciiTheme="majorBidi" w:hAnsiTheme="majorBidi" w:cstheme="majorBidi"/>
          <w:color w:val="0070C0"/>
          <w:sz w:val="24"/>
          <w:szCs w:val="24"/>
        </w:rPr>
        <w:fldChar w:fldCharType="separate"/>
      </w:r>
      <w:r w:rsidR="005F0C92" w:rsidRPr="00B46270">
        <w:rPr>
          <w:rFonts w:asciiTheme="majorBidi" w:hAnsiTheme="majorBidi" w:cstheme="majorBidi"/>
          <w:noProof/>
          <w:color w:val="0070C0"/>
          <w:sz w:val="24"/>
          <w:szCs w:val="24"/>
          <w:vertAlign w:val="superscript"/>
        </w:rPr>
        <w:t>4</w:t>
      </w:r>
      <w:r w:rsidR="00CD6DE2" w:rsidRPr="00B46270">
        <w:rPr>
          <w:rFonts w:asciiTheme="majorBidi" w:hAnsiTheme="majorBidi" w:cstheme="majorBidi"/>
          <w:color w:val="0070C0"/>
          <w:sz w:val="24"/>
          <w:szCs w:val="24"/>
        </w:rPr>
        <w:fldChar w:fldCharType="end"/>
      </w:r>
      <w:r w:rsidR="00CD6DE2" w:rsidRPr="00B46270">
        <w:rPr>
          <w:rFonts w:asciiTheme="majorBidi" w:hAnsiTheme="majorBidi" w:cstheme="majorBidi"/>
          <w:sz w:val="24"/>
          <w:szCs w:val="24"/>
        </w:rPr>
        <w:t>.</w:t>
      </w:r>
    </w:p>
    <w:p w14:paraId="41F597F9" w14:textId="77777777" w:rsidR="0088799D" w:rsidRPr="00B46270" w:rsidRDefault="0088799D" w:rsidP="002A3EE0">
      <w:pPr>
        <w:spacing w:line="360" w:lineRule="auto"/>
        <w:jc w:val="both"/>
        <w:rPr>
          <w:rFonts w:asciiTheme="majorBidi" w:hAnsiTheme="majorBidi" w:cstheme="majorBidi"/>
          <w:sz w:val="24"/>
          <w:szCs w:val="24"/>
        </w:rPr>
      </w:pPr>
    </w:p>
    <w:p w14:paraId="32DEBAA5" w14:textId="77777777" w:rsidR="0088799D" w:rsidRPr="00B46270" w:rsidRDefault="0088799D" w:rsidP="002A3EE0">
      <w:pPr>
        <w:spacing w:line="360" w:lineRule="auto"/>
        <w:jc w:val="both"/>
        <w:rPr>
          <w:rFonts w:asciiTheme="majorBidi" w:hAnsiTheme="majorBidi" w:cstheme="majorBidi"/>
          <w:sz w:val="24"/>
          <w:szCs w:val="24"/>
        </w:rPr>
      </w:pPr>
    </w:p>
    <w:p w14:paraId="2DECE856" w14:textId="77777777" w:rsidR="0088799D" w:rsidRPr="00B46270" w:rsidRDefault="0088799D" w:rsidP="002A3EE0">
      <w:pPr>
        <w:spacing w:line="360" w:lineRule="auto"/>
        <w:jc w:val="both"/>
        <w:rPr>
          <w:rFonts w:asciiTheme="majorBidi" w:hAnsiTheme="majorBidi" w:cstheme="majorBidi"/>
          <w:sz w:val="24"/>
          <w:szCs w:val="24"/>
        </w:rPr>
      </w:pPr>
    </w:p>
    <w:p w14:paraId="502431F1" w14:textId="77777777" w:rsidR="0088799D" w:rsidRPr="00B46270" w:rsidRDefault="0088799D" w:rsidP="002A3EE0">
      <w:pPr>
        <w:spacing w:line="360" w:lineRule="auto"/>
        <w:jc w:val="both"/>
        <w:rPr>
          <w:rFonts w:asciiTheme="majorBidi" w:hAnsiTheme="majorBidi" w:cstheme="majorBidi"/>
          <w:sz w:val="24"/>
          <w:szCs w:val="24"/>
        </w:rPr>
      </w:pPr>
    </w:p>
    <w:p w14:paraId="7779DBB7" w14:textId="77777777" w:rsidR="0088799D" w:rsidRPr="00B46270" w:rsidRDefault="0088799D" w:rsidP="002A3EE0">
      <w:pPr>
        <w:spacing w:line="360" w:lineRule="auto"/>
        <w:jc w:val="both"/>
        <w:rPr>
          <w:rFonts w:asciiTheme="majorBidi" w:hAnsiTheme="majorBidi" w:cstheme="majorBidi"/>
          <w:sz w:val="24"/>
          <w:szCs w:val="24"/>
        </w:rPr>
      </w:pPr>
    </w:p>
    <w:p w14:paraId="2453EDA6" w14:textId="77777777" w:rsidR="0088799D" w:rsidRPr="00B46270" w:rsidRDefault="0088799D" w:rsidP="002A3EE0">
      <w:pPr>
        <w:spacing w:line="360" w:lineRule="auto"/>
        <w:jc w:val="both"/>
        <w:rPr>
          <w:rFonts w:asciiTheme="majorBidi" w:hAnsiTheme="majorBidi" w:cstheme="majorBidi"/>
          <w:sz w:val="24"/>
          <w:szCs w:val="24"/>
        </w:rPr>
      </w:pPr>
    </w:p>
    <w:p w14:paraId="5E32FBC7" w14:textId="490B0496" w:rsidR="0088799D" w:rsidRPr="00B46270" w:rsidRDefault="0088799D" w:rsidP="002A3EE0">
      <w:pPr>
        <w:spacing w:line="360" w:lineRule="auto"/>
        <w:jc w:val="both"/>
        <w:rPr>
          <w:rFonts w:asciiTheme="majorBidi" w:hAnsiTheme="majorBidi" w:cstheme="majorBidi"/>
          <w:sz w:val="24"/>
          <w:szCs w:val="24"/>
        </w:rPr>
      </w:pPr>
      <w:r w:rsidRPr="00B46270">
        <w:rPr>
          <w:noProof/>
        </w:rPr>
        <w:lastRenderedPageBreak/>
        <w:drawing>
          <wp:anchor distT="0" distB="0" distL="114300" distR="114300" simplePos="0" relativeHeight="251661312" behindDoc="0" locked="0" layoutInCell="1" allowOverlap="1" wp14:anchorId="3127EE38" wp14:editId="28EC814A">
            <wp:simplePos x="0" y="0"/>
            <wp:positionH relativeFrom="column">
              <wp:posOffset>685800</wp:posOffset>
            </wp:positionH>
            <wp:positionV relativeFrom="paragraph">
              <wp:posOffset>171450</wp:posOffset>
            </wp:positionV>
            <wp:extent cx="4377690" cy="3613150"/>
            <wp:effectExtent l="190500" t="171450" r="175260" b="177800"/>
            <wp:wrapThrough wrapText="bothSides">
              <wp:wrapPolygon edited="0">
                <wp:start x="-470" y="-1025"/>
                <wp:lineTo x="-940" y="-797"/>
                <wp:lineTo x="-940" y="21182"/>
                <wp:lineTo x="-658" y="22549"/>
                <wp:lineTo x="22089" y="22549"/>
                <wp:lineTo x="22371" y="21182"/>
                <wp:lineTo x="22371" y="1025"/>
                <wp:lineTo x="21901" y="-683"/>
                <wp:lineTo x="21901" y="-1025"/>
                <wp:lineTo x="-470" y="-1025"/>
              </wp:wrapPolygon>
            </wp:wrapThrough>
            <wp:docPr id="995341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41250" name=""/>
                    <pic:cNvPicPr/>
                  </pic:nvPicPr>
                  <pic:blipFill rotWithShape="1">
                    <a:blip r:embed="rId7">
                      <a:extLst>
                        <a:ext uri="{28A0092B-C50C-407E-A947-70E740481C1C}">
                          <a14:useLocalDpi xmlns:a14="http://schemas.microsoft.com/office/drawing/2010/main" val="0"/>
                        </a:ext>
                      </a:extLst>
                    </a:blip>
                    <a:srcRect l="35042" t="30769" r="27671" b="14530"/>
                    <a:stretch/>
                  </pic:blipFill>
                  <pic:spPr bwMode="auto">
                    <a:xfrm>
                      <a:off x="0" y="0"/>
                      <a:ext cx="4377690" cy="3613150"/>
                    </a:xfrm>
                    <a:prstGeom prst="rect">
                      <a:avLst/>
                    </a:prstGeom>
                    <a:ln>
                      <a:noFill/>
                    </a:ln>
                    <a:effectLst>
                      <a:glow rad="101600">
                        <a:schemeClr val="accent6">
                          <a:satMod val="175000"/>
                          <a:alpha val="40000"/>
                        </a:schemeClr>
                      </a:glow>
                      <a:outerShdw blurRad="63500" sx="102000" sy="102000" algn="ctr" rotWithShape="0">
                        <a:prstClr val="black">
                          <a:alpha val="40000"/>
                        </a:prstClr>
                      </a:outerShdw>
                    </a:effectLst>
                    <a:scene3d>
                      <a:camera prst="orthographicFront">
                        <a:rot lat="0" lon="0" rev="0"/>
                      </a:camera>
                      <a:lightRig rig="balanced" dir="t">
                        <a:rot lat="0" lon="0" rev="8700000"/>
                      </a:lightRig>
                    </a:scene3d>
                    <a:sp3d>
                      <a:bevelT w="190500" h="38100"/>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7F963E3" w14:textId="046F9DF2" w:rsidR="0088799D" w:rsidRPr="00B46270" w:rsidRDefault="0088799D" w:rsidP="002A3EE0">
      <w:pPr>
        <w:tabs>
          <w:tab w:val="left" w:pos="930"/>
        </w:tabs>
        <w:rPr>
          <w:rFonts w:ascii="Times New Roman" w:hAnsi="Times New Roman" w:cs="Times New Roman"/>
          <w:b/>
          <w:bCs/>
          <w:sz w:val="24"/>
          <w:szCs w:val="24"/>
        </w:rPr>
      </w:pPr>
    </w:p>
    <w:p w14:paraId="706B86D0" w14:textId="77777777" w:rsidR="0088799D" w:rsidRPr="00B46270" w:rsidRDefault="0088799D" w:rsidP="002A3EE0">
      <w:pPr>
        <w:tabs>
          <w:tab w:val="left" w:pos="930"/>
        </w:tabs>
        <w:rPr>
          <w:rFonts w:ascii="Times New Roman" w:hAnsi="Times New Roman" w:cs="Times New Roman"/>
          <w:b/>
          <w:bCs/>
          <w:sz w:val="24"/>
          <w:szCs w:val="24"/>
        </w:rPr>
      </w:pPr>
    </w:p>
    <w:p w14:paraId="2679A267" w14:textId="77777777" w:rsidR="0088799D" w:rsidRPr="00B46270" w:rsidRDefault="0088799D" w:rsidP="002A3EE0">
      <w:pPr>
        <w:tabs>
          <w:tab w:val="left" w:pos="930"/>
        </w:tabs>
        <w:rPr>
          <w:rFonts w:ascii="Times New Roman" w:hAnsi="Times New Roman" w:cs="Times New Roman"/>
          <w:b/>
          <w:bCs/>
          <w:sz w:val="24"/>
          <w:szCs w:val="24"/>
        </w:rPr>
      </w:pPr>
    </w:p>
    <w:p w14:paraId="062B19B7" w14:textId="77777777" w:rsidR="0088799D" w:rsidRPr="00B46270" w:rsidRDefault="0088799D" w:rsidP="002A3EE0">
      <w:pPr>
        <w:tabs>
          <w:tab w:val="left" w:pos="930"/>
        </w:tabs>
        <w:rPr>
          <w:rFonts w:ascii="Times New Roman" w:hAnsi="Times New Roman" w:cs="Times New Roman"/>
          <w:b/>
          <w:bCs/>
          <w:sz w:val="24"/>
          <w:szCs w:val="24"/>
        </w:rPr>
      </w:pPr>
    </w:p>
    <w:p w14:paraId="3CBBD769" w14:textId="77777777" w:rsidR="0088799D" w:rsidRPr="00B46270" w:rsidRDefault="0088799D" w:rsidP="002A3EE0">
      <w:pPr>
        <w:tabs>
          <w:tab w:val="left" w:pos="930"/>
        </w:tabs>
        <w:rPr>
          <w:rFonts w:ascii="Times New Roman" w:hAnsi="Times New Roman" w:cs="Times New Roman"/>
          <w:b/>
          <w:bCs/>
          <w:sz w:val="24"/>
          <w:szCs w:val="24"/>
        </w:rPr>
      </w:pPr>
    </w:p>
    <w:p w14:paraId="785CAB8D" w14:textId="77777777" w:rsidR="0088799D" w:rsidRPr="00B46270" w:rsidRDefault="0088799D" w:rsidP="002A3EE0">
      <w:pPr>
        <w:tabs>
          <w:tab w:val="left" w:pos="930"/>
        </w:tabs>
        <w:rPr>
          <w:rFonts w:ascii="Times New Roman" w:hAnsi="Times New Roman" w:cs="Times New Roman"/>
          <w:b/>
          <w:bCs/>
          <w:sz w:val="24"/>
          <w:szCs w:val="24"/>
        </w:rPr>
      </w:pPr>
    </w:p>
    <w:p w14:paraId="08DD3697" w14:textId="77777777" w:rsidR="0088799D" w:rsidRPr="00B46270" w:rsidRDefault="0088799D" w:rsidP="002A3EE0">
      <w:pPr>
        <w:tabs>
          <w:tab w:val="left" w:pos="930"/>
        </w:tabs>
        <w:rPr>
          <w:rFonts w:ascii="Times New Roman" w:hAnsi="Times New Roman" w:cs="Times New Roman"/>
          <w:b/>
          <w:bCs/>
          <w:sz w:val="24"/>
          <w:szCs w:val="24"/>
        </w:rPr>
      </w:pPr>
    </w:p>
    <w:p w14:paraId="46B50FE3" w14:textId="77777777" w:rsidR="0088799D" w:rsidRPr="00B46270" w:rsidRDefault="0088799D" w:rsidP="002A3EE0">
      <w:pPr>
        <w:tabs>
          <w:tab w:val="left" w:pos="930"/>
        </w:tabs>
        <w:rPr>
          <w:rFonts w:ascii="Times New Roman" w:hAnsi="Times New Roman" w:cs="Times New Roman"/>
          <w:b/>
          <w:bCs/>
          <w:sz w:val="24"/>
          <w:szCs w:val="24"/>
        </w:rPr>
      </w:pPr>
    </w:p>
    <w:p w14:paraId="501B5CD8" w14:textId="77777777" w:rsidR="0088799D" w:rsidRPr="00B46270" w:rsidRDefault="0088799D" w:rsidP="002A3EE0">
      <w:pPr>
        <w:tabs>
          <w:tab w:val="left" w:pos="930"/>
        </w:tabs>
        <w:rPr>
          <w:rFonts w:ascii="Times New Roman" w:hAnsi="Times New Roman" w:cs="Times New Roman"/>
          <w:b/>
          <w:bCs/>
          <w:sz w:val="24"/>
          <w:szCs w:val="24"/>
        </w:rPr>
      </w:pPr>
    </w:p>
    <w:p w14:paraId="70033C6D" w14:textId="77777777" w:rsidR="0088799D" w:rsidRPr="00B46270" w:rsidRDefault="0088799D" w:rsidP="002A3EE0">
      <w:pPr>
        <w:tabs>
          <w:tab w:val="left" w:pos="930"/>
        </w:tabs>
        <w:rPr>
          <w:rFonts w:ascii="Times New Roman" w:hAnsi="Times New Roman" w:cs="Times New Roman"/>
          <w:b/>
          <w:bCs/>
          <w:sz w:val="24"/>
          <w:szCs w:val="24"/>
        </w:rPr>
      </w:pPr>
    </w:p>
    <w:p w14:paraId="66258B39" w14:textId="77777777" w:rsidR="0088799D" w:rsidRPr="00B46270" w:rsidRDefault="0088799D" w:rsidP="002A3EE0">
      <w:pPr>
        <w:tabs>
          <w:tab w:val="left" w:pos="930"/>
        </w:tabs>
        <w:rPr>
          <w:rFonts w:ascii="Times New Roman" w:hAnsi="Times New Roman" w:cs="Times New Roman"/>
          <w:b/>
          <w:bCs/>
          <w:sz w:val="24"/>
          <w:szCs w:val="24"/>
        </w:rPr>
      </w:pPr>
    </w:p>
    <w:p w14:paraId="445BA408" w14:textId="77777777" w:rsidR="0088799D" w:rsidRPr="00B46270" w:rsidRDefault="0088799D" w:rsidP="002A3EE0">
      <w:pPr>
        <w:tabs>
          <w:tab w:val="left" w:pos="930"/>
        </w:tabs>
        <w:rPr>
          <w:rFonts w:ascii="Times New Roman" w:hAnsi="Times New Roman" w:cs="Times New Roman"/>
          <w:b/>
          <w:bCs/>
          <w:sz w:val="24"/>
          <w:szCs w:val="24"/>
        </w:rPr>
      </w:pPr>
    </w:p>
    <w:p w14:paraId="77037937" w14:textId="77777777" w:rsidR="0088799D" w:rsidRPr="00B46270" w:rsidRDefault="0088799D" w:rsidP="0088799D">
      <w:pPr>
        <w:tabs>
          <w:tab w:val="left" w:pos="0"/>
          <w:tab w:val="left" w:pos="90"/>
          <w:tab w:val="left" w:pos="9450"/>
        </w:tabs>
        <w:autoSpaceDE w:val="0"/>
        <w:autoSpaceDN w:val="0"/>
        <w:adjustRightInd w:val="0"/>
        <w:spacing w:after="0" w:line="360" w:lineRule="auto"/>
        <w:ind w:right="-540"/>
        <w:jc w:val="both"/>
        <w:rPr>
          <w:rFonts w:asciiTheme="majorBidi" w:hAnsiTheme="majorBidi" w:cstheme="majorBidi"/>
          <w:b/>
          <w:bCs/>
          <w:noProof/>
          <w:sz w:val="24"/>
          <w:szCs w:val="24"/>
        </w:rPr>
      </w:pPr>
    </w:p>
    <w:p w14:paraId="16E5C0AE" w14:textId="7BCBA050" w:rsidR="0088799D" w:rsidRPr="00B46270" w:rsidRDefault="0088799D" w:rsidP="0088799D">
      <w:pPr>
        <w:tabs>
          <w:tab w:val="left" w:pos="0"/>
          <w:tab w:val="left" w:pos="90"/>
          <w:tab w:val="left" w:pos="9450"/>
        </w:tabs>
        <w:autoSpaceDE w:val="0"/>
        <w:autoSpaceDN w:val="0"/>
        <w:adjustRightInd w:val="0"/>
        <w:spacing w:after="0" w:line="360" w:lineRule="auto"/>
        <w:ind w:right="-540"/>
        <w:jc w:val="center"/>
        <w:rPr>
          <w:rFonts w:asciiTheme="majorBidi" w:hAnsiTheme="majorBidi" w:cstheme="majorBidi"/>
          <w:noProof/>
          <w:sz w:val="24"/>
          <w:szCs w:val="24"/>
        </w:rPr>
      </w:pPr>
      <w:r w:rsidRPr="00B46270">
        <w:rPr>
          <w:rFonts w:asciiTheme="majorBidi" w:hAnsiTheme="majorBidi" w:cstheme="majorBidi"/>
          <w:b/>
          <w:bCs/>
          <w:noProof/>
          <w:sz w:val="24"/>
          <w:szCs w:val="24"/>
        </w:rPr>
        <w:t>Fig. S1.</w:t>
      </w:r>
      <w:r w:rsidRPr="00B46270">
        <w:rPr>
          <w:rFonts w:asciiTheme="majorBidi" w:hAnsiTheme="majorBidi" w:cstheme="majorBidi"/>
          <w:noProof/>
          <w:sz w:val="24"/>
          <w:szCs w:val="24"/>
        </w:rPr>
        <w:t xml:space="preserve"> </w:t>
      </w:r>
      <w:r w:rsidRPr="00B46270">
        <w:rPr>
          <w:rFonts w:ascii="Times New Roman" w:hAnsi="Times New Roman" w:cs="Times New Roman"/>
          <w:sz w:val="24"/>
          <w:szCs w:val="24"/>
        </w:rPr>
        <w:t xml:space="preserve">Mechanism of 2,4-D adsorption onto </w:t>
      </w:r>
      <w:r w:rsidRPr="00B46270">
        <w:rPr>
          <w:rFonts w:asciiTheme="majorBidi" w:hAnsiTheme="majorBidi" w:cstheme="majorBidi"/>
          <w:sz w:val="24"/>
          <w:szCs w:val="24"/>
        </w:rPr>
        <w:t>Ag@CNFL.</w:t>
      </w:r>
    </w:p>
    <w:p w14:paraId="43269EEA" w14:textId="23127A2C" w:rsidR="002A3EE0" w:rsidRPr="00B46270" w:rsidRDefault="000C0F30" w:rsidP="002A3EE0">
      <w:pPr>
        <w:tabs>
          <w:tab w:val="left" w:pos="930"/>
        </w:tabs>
        <w:rPr>
          <w:rFonts w:ascii="Times New Roman" w:hAnsi="Times New Roman" w:cs="Times New Roman"/>
          <w:b/>
          <w:bCs/>
          <w:sz w:val="24"/>
          <w:szCs w:val="24"/>
        </w:rPr>
      </w:pPr>
      <w:r w:rsidRPr="00B46270">
        <w:rPr>
          <w:rFonts w:ascii="Times New Roman" w:hAnsi="Times New Roman" w:cs="Times New Roman"/>
          <w:b/>
          <w:bCs/>
          <w:sz w:val="24"/>
          <w:szCs w:val="24"/>
        </w:rPr>
        <w:t>2</w:t>
      </w:r>
      <w:r w:rsidR="00E6326F" w:rsidRPr="00B46270">
        <w:rPr>
          <w:rFonts w:ascii="Times New Roman" w:hAnsi="Times New Roman" w:cs="Times New Roman"/>
          <w:b/>
          <w:bCs/>
          <w:sz w:val="24"/>
          <w:szCs w:val="24"/>
        </w:rPr>
        <w:t>.</w:t>
      </w:r>
      <w:r w:rsidRPr="00B46270">
        <w:rPr>
          <w:rFonts w:ascii="Times New Roman" w:hAnsi="Times New Roman" w:cs="Times New Roman"/>
          <w:b/>
          <w:bCs/>
          <w:sz w:val="24"/>
          <w:szCs w:val="24"/>
        </w:rPr>
        <w:t xml:space="preserve"> </w:t>
      </w:r>
      <w:r w:rsidR="002A3EE0" w:rsidRPr="00B46270">
        <w:rPr>
          <w:rFonts w:ascii="Times New Roman" w:hAnsi="Times New Roman" w:cs="Times New Roman"/>
          <w:b/>
          <w:bCs/>
          <w:sz w:val="24"/>
          <w:szCs w:val="24"/>
        </w:rPr>
        <w:t xml:space="preserve">Mechanism of 2,4-D photodegradation onto </w:t>
      </w:r>
      <w:r w:rsidR="002A3EE0" w:rsidRPr="00B46270">
        <w:rPr>
          <w:rFonts w:asciiTheme="majorBidi" w:hAnsiTheme="majorBidi" w:cstheme="majorBidi"/>
          <w:b/>
          <w:bCs/>
          <w:sz w:val="24"/>
          <w:szCs w:val="24"/>
        </w:rPr>
        <w:t>Ag@CNFL:</w:t>
      </w:r>
    </w:p>
    <w:p w14:paraId="68A7FA4E" w14:textId="5DA132BA" w:rsidR="005828E6" w:rsidRPr="00B46270" w:rsidRDefault="002A3EE0" w:rsidP="00813493">
      <w:pPr>
        <w:spacing w:line="360" w:lineRule="auto"/>
        <w:jc w:val="both"/>
        <w:rPr>
          <w:rFonts w:asciiTheme="majorBidi" w:hAnsiTheme="majorBidi" w:cstheme="majorBidi"/>
          <w:sz w:val="24"/>
          <w:szCs w:val="24"/>
        </w:rPr>
      </w:pPr>
      <w:r w:rsidRPr="00B46270">
        <w:rPr>
          <w:rFonts w:asciiTheme="majorBidi" w:hAnsiTheme="majorBidi" w:cstheme="majorBidi"/>
          <w:sz w:val="24"/>
          <w:szCs w:val="24"/>
        </w:rPr>
        <w:t xml:space="preserve">    </w:t>
      </w:r>
      <w:r w:rsidR="00FC7223" w:rsidRPr="00B46270">
        <w:rPr>
          <w:rFonts w:asciiTheme="majorBidi" w:hAnsiTheme="majorBidi" w:cstheme="majorBidi"/>
          <w:sz w:val="24"/>
          <w:szCs w:val="24"/>
        </w:rPr>
        <w:t xml:space="preserve">An accurate explanation for the increased 2,4-D photodegradation mechanism by the ternary heterogeneous </w:t>
      </w:r>
      <w:proofErr w:type="spellStart"/>
      <w:r w:rsidR="00FC7223" w:rsidRPr="00B46270">
        <w:rPr>
          <w:rFonts w:asciiTheme="majorBidi" w:hAnsiTheme="majorBidi" w:cstheme="majorBidi"/>
          <w:sz w:val="24"/>
          <w:szCs w:val="24"/>
        </w:rPr>
        <w:t>Ag@CdS</w:t>
      </w:r>
      <w:proofErr w:type="spellEnd"/>
      <w:r w:rsidR="00FC7223" w:rsidRPr="00B46270">
        <w:rPr>
          <w:rFonts w:asciiTheme="majorBidi" w:hAnsiTheme="majorBidi" w:cstheme="majorBidi"/>
          <w:sz w:val="24"/>
          <w:szCs w:val="24"/>
        </w:rPr>
        <w:t>/Ni-Fe LDH nanocomposite (</w:t>
      </w:r>
      <w:proofErr w:type="spellStart"/>
      <w:r w:rsidR="00FC7223" w:rsidRPr="00B46270">
        <w:rPr>
          <w:rFonts w:asciiTheme="majorBidi" w:hAnsiTheme="majorBidi" w:cstheme="majorBidi"/>
          <w:sz w:val="24"/>
          <w:szCs w:val="24"/>
        </w:rPr>
        <w:t>Ag@CNFL</w:t>
      </w:r>
      <w:proofErr w:type="spellEnd"/>
      <w:r w:rsidR="00FC7223" w:rsidRPr="00B46270">
        <w:rPr>
          <w:rFonts w:asciiTheme="majorBidi" w:hAnsiTheme="majorBidi" w:cstheme="majorBidi"/>
          <w:sz w:val="24"/>
          <w:szCs w:val="24"/>
        </w:rPr>
        <w:t xml:space="preserve">) has been proposed and schematically depicted in Fig. </w:t>
      </w:r>
      <w:r w:rsidR="00B17CA9" w:rsidRPr="00B46270">
        <w:rPr>
          <w:rFonts w:asciiTheme="majorBidi" w:hAnsiTheme="majorBidi" w:cstheme="majorBidi"/>
          <w:sz w:val="24"/>
          <w:szCs w:val="24"/>
        </w:rPr>
        <w:t>S3</w:t>
      </w:r>
      <w:r w:rsidR="00FC7223" w:rsidRPr="00B46270">
        <w:rPr>
          <w:rFonts w:asciiTheme="majorBidi" w:hAnsiTheme="majorBidi" w:cstheme="majorBidi"/>
          <w:sz w:val="24"/>
          <w:szCs w:val="24"/>
        </w:rPr>
        <w:t xml:space="preserve"> upon the photocatalyst performance. Visible light excited </w:t>
      </w:r>
      <w:proofErr w:type="spellStart"/>
      <w:r w:rsidR="00FC7223" w:rsidRPr="00B46270">
        <w:rPr>
          <w:rFonts w:asciiTheme="majorBidi" w:hAnsiTheme="majorBidi" w:cstheme="majorBidi"/>
          <w:sz w:val="24"/>
          <w:szCs w:val="24"/>
        </w:rPr>
        <w:t>Ag@CdS</w:t>
      </w:r>
      <w:proofErr w:type="spellEnd"/>
      <w:r w:rsidR="00FC7223" w:rsidRPr="00B46270">
        <w:rPr>
          <w:rFonts w:asciiTheme="majorBidi" w:hAnsiTheme="majorBidi" w:cstheme="majorBidi"/>
          <w:sz w:val="24"/>
          <w:szCs w:val="24"/>
        </w:rPr>
        <w:t>/Ni-Fe LDH heterojunction, causing CdS and Ni-Fe LDH to produce electrons in the conduction band</w:t>
      </w:r>
      <w:r w:rsidR="00B34A31" w:rsidRPr="00B46270">
        <w:rPr>
          <w:rFonts w:asciiTheme="majorBidi" w:hAnsiTheme="majorBidi" w:cstheme="majorBidi"/>
          <w:sz w:val="24"/>
          <w:szCs w:val="24"/>
        </w:rPr>
        <w:t>s</w:t>
      </w:r>
      <w:r w:rsidR="00FC7223" w:rsidRPr="00B46270">
        <w:rPr>
          <w:rFonts w:asciiTheme="majorBidi" w:hAnsiTheme="majorBidi" w:cstheme="majorBidi"/>
          <w:sz w:val="24"/>
          <w:szCs w:val="24"/>
        </w:rPr>
        <w:t xml:space="preserve"> (CB), where</w:t>
      </w:r>
      <w:r w:rsidR="00B34A31" w:rsidRPr="00B46270">
        <w:rPr>
          <w:rFonts w:asciiTheme="majorBidi" w:hAnsiTheme="majorBidi" w:cstheme="majorBidi"/>
          <w:sz w:val="24"/>
          <w:szCs w:val="24"/>
        </w:rPr>
        <w:t xml:space="preserve"> h</w:t>
      </w:r>
      <w:r w:rsidR="00B34A31" w:rsidRPr="00B46270">
        <w:rPr>
          <w:rFonts w:asciiTheme="majorBidi" w:hAnsiTheme="majorBidi" w:cstheme="majorBidi"/>
          <w:sz w:val="24"/>
          <w:szCs w:val="24"/>
          <w:vertAlign w:val="superscript"/>
        </w:rPr>
        <w:t>+</w:t>
      </w:r>
      <w:r w:rsidR="00B34A31" w:rsidRPr="00B46270">
        <w:rPr>
          <w:rFonts w:asciiTheme="majorBidi" w:hAnsiTheme="majorBidi" w:cstheme="majorBidi"/>
          <w:sz w:val="24"/>
          <w:szCs w:val="24"/>
        </w:rPr>
        <w:t xml:space="preserve"> and</w:t>
      </w:r>
      <w:r w:rsidR="00FC7223" w:rsidRPr="00B46270">
        <w:rPr>
          <w:rFonts w:asciiTheme="majorBidi" w:hAnsiTheme="majorBidi" w:cstheme="majorBidi"/>
          <w:sz w:val="24"/>
          <w:szCs w:val="24"/>
        </w:rPr>
        <w:t xml:space="preserve"> e</w:t>
      </w:r>
      <w:r w:rsidR="00FC7223" w:rsidRPr="00B46270">
        <w:rPr>
          <w:rFonts w:asciiTheme="majorBidi" w:hAnsiTheme="majorBidi" w:cstheme="majorBidi"/>
          <w:sz w:val="24"/>
          <w:szCs w:val="24"/>
          <w:vertAlign w:val="superscript"/>
        </w:rPr>
        <w:t>-</w:t>
      </w:r>
      <w:r w:rsidR="00FC7223" w:rsidRPr="00B46270">
        <w:rPr>
          <w:rFonts w:asciiTheme="majorBidi" w:hAnsiTheme="majorBidi" w:cstheme="majorBidi"/>
          <w:sz w:val="24"/>
          <w:szCs w:val="24"/>
        </w:rPr>
        <w:t xml:space="preserve"> </w:t>
      </w:r>
      <w:r w:rsidR="00B34A31" w:rsidRPr="00B46270">
        <w:rPr>
          <w:rFonts w:asciiTheme="majorBidi" w:hAnsiTheme="majorBidi" w:cstheme="majorBidi"/>
          <w:sz w:val="24"/>
          <w:szCs w:val="24"/>
        </w:rPr>
        <w:t>were</w:t>
      </w:r>
      <w:r w:rsidR="00FC7223" w:rsidRPr="00B46270">
        <w:rPr>
          <w:rFonts w:asciiTheme="majorBidi" w:hAnsiTheme="majorBidi" w:cstheme="majorBidi"/>
          <w:sz w:val="24"/>
          <w:szCs w:val="24"/>
        </w:rPr>
        <w:t xml:space="preserve"> separated. By simultaneously activating CdS and Ni-Fe LDH, the charge separation was enhanced</w:t>
      </w:r>
      <w:r w:rsidR="00B17CA9" w:rsidRPr="00B46270">
        <w:rPr>
          <w:rFonts w:asciiTheme="majorBidi" w:hAnsiTheme="majorBidi" w:cstheme="majorBidi"/>
          <w:sz w:val="24"/>
          <w:szCs w:val="24"/>
        </w:rPr>
        <w:t>,</w:t>
      </w:r>
      <w:r w:rsidR="00FC7223" w:rsidRPr="00B46270">
        <w:rPr>
          <w:rFonts w:asciiTheme="majorBidi" w:hAnsiTheme="majorBidi" w:cstheme="majorBidi"/>
          <w:sz w:val="24"/>
          <w:szCs w:val="24"/>
        </w:rPr>
        <w:t xml:space="preserve"> and the charge recombination was inhibited</w:t>
      </w:r>
      <w:r w:rsidR="00E77A79" w:rsidRPr="00B46270">
        <w:rPr>
          <w:rFonts w:asciiTheme="majorBidi" w:hAnsiTheme="majorBidi" w:cstheme="majorBidi"/>
          <w:sz w:val="24"/>
          <w:szCs w:val="24"/>
        </w:rPr>
        <w:t xml:space="preserve"> </w:t>
      </w:r>
      <w:r w:rsidR="00E77A79" w:rsidRPr="00B46270">
        <w:rPr>
          <w:rFonts w:asciiTheme="majorBidi" w:hAnsiTheme="majorBidi" w:cstheme="majorBidi"/>
          <w:color w:val="0070C0"/>
          <w:sz w:val="24"/>
          <w:szCs w:val="24"/>
        </w:rPr>
        <w:fldChar w:fldCharType="begin" w:fldLock="1"/>
      </w:r>
      <w:r w:rsidR="00813493" w:rsidRPr="00B46270">
        <w:rPr>
          <w:rFonts w:asciiTheme="majorBidi" w:hAnsiTheme="majorBidi" w:cstheme="majorBidi"/>
          <w:color w:val="0070C0"/>
          <w:sz w:val="24"/>
          <w:szCs w:val="24"/>
        </w:rPr>
        <w:instrText>ADDIN CSL_CITATION {"citationItems":[{"id":"ITEM-1","itemData":{"DOI":"10.1016/j.jssc.2020.121858","ISSN":"1095726X","abstract":"The utilization of solar energy with photocatalytic technology has been considered a good solution for environmental pollution and energy shortage. The preparation of heterojunction composite has been proven as a promising approach to prevent the recombination of photogenerated charge carriers in photocatalysis. In this work, the heterostructure of ZnTi/C3N4/Ag LDH has been synthesized through a self-assembly method for the first time. Based on the UV–Vis absorption spectra, it was revealed that the incorporation of Ag nanoparticle and C3N4 on ZnTi LDH leads to a broad visible-light absorption and promotes charge transfer. The photocatalyst phenol degradation results show that ZnTi/C3N4/Ag LDH performs superior photocatalyst activity under visible light (&gt;380 ​nm) exposure with 76.6% of phenol has degraded during the photocatalyst test. These findings are expected to provide insights into the design of visible light driven photocatalyst in environmental remediation and energy conversion.","author":[{"dropping-particle":"","family":"Lestari","given":"Putri Rizka","non-dropping-particle":"","parse-names":false,"suffix":""},{"dropping-particle":"","family":"Takei","given":"Takahiro","non-dropping-particle":"","parse-names":false,"suffix":""},{"dropping-particle":"","family":"Kumada","given":"Nobuhiro","non-dropping-particle":"","parse-names":false,"suffix":""}],"container-title":"Journal of Solid State Chemistry","id":"ITEM-1","issue":"November 2020","issued":{"date-parts":[["2021"]]},"page":"121858","publisher":"Elsevier Ltd","title":"Novel ZnTi/C3N4/Ag LDH heterojunction composite for efficient photocatalytic phenol degradation","type":"article-journal","volume":"294"},"uris":["http://www.mendeley.com/documents/?uuid=7b833262-7f12-4d7a-9427-5419f0b0016e"]}],"mendeley":{"formattedCitation":"&lt;sup&gt;5&lt;/sup&gt;","plainTextFormattedCitation":"5","previouslyFormattedCitation":"&lt;sup&gt;5&lt;/sup&gt;"},"properties":{"noteIndex":0},"schema":"https://github.com/citation-style-language/schema/raw/master/csl-citation.json"}</w:instrText>
      </w:r>
      <w:r w:rsidR="00E77A79" w:rsidRPr="00B46270">
        <w:rPr>
          <w:rFonts w:asciiTheme="majorBidi" w:hAnsiTheme="majorBidi" w:cstheme="majorBidi"/>
          <w:color w:val="0070C0"/>
          <w:sz w:val="24"/>
          <w:szCs w:val="24"/>
        </w:rPr>
        <w:fldChar w:fldCharType="separate"/>
      </w:r>
      <w:r w:rsidR="005F0C92" w:rsidRPr="00B46270">
        <w:rPr>
          <w:rFonts w:asciiTheme="majorBidi" w:hAnsiTheme="majorBidi" w:cstheme="majorBidi"/>
          <w:noProof/>
          <w:color w:val="0070C0"/>
          <w:sz w:val="24"/>
          <w:szCs w:val="24"/>
          <w:vertAlign w:val="superscript"/>
        </w:rPr>
        <w:t>5</w:t>
      </w:r>
      <w:r w:rsidR="00E77A79" w:rsidRPr="00B46270">
        <w:rPr>
          <w:rFonts w:asciiTheme="majorBidi" w:hAnsiTheme="majorBidi" w:cstheme="majorBidi"/>
          <w:color w:val="0070C0"/>
          <w:sz w:val="24"/>
          <w:szCs w:val="24"/>
        </w:rPr>
        <w:fldChar w:fldCharType="end"/>
      </w:r>
      <w:r w:rsidR="00FC7223" w:rsidRPr="00B46270">
        <w:rPr>
          <w:rFonts w:asciiTheme="majorBidi" w:hAnsiTheme="majorBidi" w:cstheme="majorBidi"/>
          <w:sz w:val="24"/>
          <w:szCs w:val="24"/>
        </w:rPr>
        <w:t xml:space="preserve">. </w:t>
      </w:r>
      <w:r w:rsidR="00E77A79" w:rsidRPr="00B46270">
        <w:rPr>
          <w:rFonts w:asciiTheme="majorBidi" w:hAnsiTheme="majorBidi" w:cstheme="majorBidi"/>
          <w:sz w:val="24"/>
          <w:szCs w:val="24"/>
        </w:rPr>
        <w:t xml:space="preserve">The adsorbed </w:t>
      </w:r>
      <w:r w:rsidR="00FC7223" w:rsidRPr="00B46270">
        <w:rPr>
          <w:rFonts w:asciiTheme="majorBidi" w:hAnsiTheme="majorBidi" w:cstheme="majorBidi"/>
          <w:sz w:val="24"/>
          <w:szCs w:val="24"/>
        </w:rPr>
        <w:t>O</w:t>
      </w:r>
      <w:r w:rsidR="00FC7223" w:rsidRPr="00B46270">
        <w:rPr>
          <w:rFonts w:asciiTheme="majorBidi" w:hAnsiTheme="majorBidi" w:cstheme="majorBidi"/>
          <w:sz w:val="24"/>
          <w:szCs w:val="24"/>
          <w:vertAlign w:val="subscript"/>
        </w:rPr>
        <w:t>2</w:t>
      </w:r>
      <w:r w:rsidR="00FC7223" w:rsidRPr="00B46270">
        <w:rPr>
          <w:rFonts w:asciiTheme="majorBidi" w:hAnsiTheme="majorBidi" w:cstheme="majorBidi"/>
          <w:sz w:val="24"/>
          <w:szCs w:val="24"/>
        </w:rPr>
        <w:t xml:space="preserve"> </w:t>
      </w:r>
      <w:r w:rsidR="00E77A79" w:rsidRPr="00B46270">
        <w:rPr>
          <w:rFonts w:asciiTheme="majorBidi" w:hAnsiTheme="majorBidi" w:cstheme="majorBidi"/>
          <w:sz w:val="24"/>
          <w:szCs w:val="24"/>
        </w:rPr>
        <w:t xml:space="preserve">onto the catalyst surface </w:t>
      </w:r>
      <w:r w:rsidR="00FC7223" w:rsidRPr="00B46270">
        <w:rPr>
          <w:rFonts w:asciiTheme="majorBidi" w:hAnsiTheme="majorBidi" w:cstheme="majorBidi"/>
          <w:sz w:val="24"/>
          <w:szCs w:val="24"/>
        </w:rPr>
        <w:t xml:space="preserve">can be converted into </w:t>
      </w:r>
      <w:r w:rsidR="00FC7223" w:rsidRPr="00B46270">
        <w:rPr>
          <w:rFonts w:asciiTheme="majorBidi" w:hAnsiTheme="majorBidi" w:cstheme="majorBidi"/>
          <w:sz w:val="24"/>
          <w:szCs w:val="24"/>
          <w:vertAlign w:val="superscript"/>
        </w:rPr>
        <w:t>●</w:t>
      </w:r>
      <w:r w:rsidR="00FC7223" w:rsidRPr="00B46270">
        <w:rPr>
          <w:rFonts w:asciiTheme="majorBidi" w:hAnsiTheme="majorBidi" w:cstheme="majorBidi"/>
          <w:sz w:val="24"/>
          <w:szCs w:val="24"/>
        </w:rPr>
        <w:t>O</w:t>
      </w:r>
      <w:r w:rsidR="00FC7223" w:rsidRPr="00B46270">
        <w:rPr>
          <w:rFonts w:asciiTheme="majorBidi" w:hAnsiTheme="majorBidi" w:cstheme="majorBidi"/>
          <w:sz w:val="24"/>
          <w:szCs w:val="24"/>
          <w:vertAlign w:val="subscript"/>
        </w:rPr>
        <w:t>2</w:t>
      </w:r>
      <w:r w:rsidR="00FC7223" w:rsidRPr="00B46270">
        <w:rPr>
          <w:rFonts w:asciiTheme="majorBidi" w:hAnsiTheme="majorBidi" w:cstheme="majorBidi"/>
          <w:sz w:val="24"/>
          <w:szCs w:val="24"/>
          <w:vertAlign w:val="superscript"/>
        </w:rPr>
        <w:t>-</w:t>
      </w:r>
      <w:r w:rsidR="00FC7223" w:rsidRPr="00B46270">
        <w:rPr>
          <w:rFonts w:asciiTheme="majorBidi" w:hAnsiTheme="majorBidi" w:cstheme="majorBidi"/>
          <w:sz w:val="24"/>
          <w:szCs w:val="24"/>
        </w:rPr>
        <w:t xml:space="preserve"> by</w:t>
      </w:r>
      <w:r w:rsidR="00B34A31" w:rsidRPr="00B46270">
        <w:rPr>
          <w:rFonts w:asciiTheme="majorBidi" w:hAnsiTheme="majorBidi" w:cstheme="majorBidi"/>
          <w:sz w:val="24"/>
          <w:szCs w:val="24"/>
        </w:rPr>
        <w:t xml:space="preserve"> the CB of </w:t>
      </w:r>
      <w:r w:rsidR="00FC7223" w:rsidRPr="00B46270">
        <w:rPr>
          <w:rFonts w:asciiTheme="majorBidi" w:hAnsiTheme="majorBidi" w:cstheme="majorBidi"/>
          <w:sz w:val="24"/>
          <w:szCs w:val="24"/>
        </w:rPr>
        <w:t>NFL and CdS, and H</w:t>
      </w:r>
      <w:r w:rsidR="00FC7223" w:rsidRPr="00B46270">
        <w:rPr>
          <w:rFonts w:asciiTheme="majorBidi" w:hAnsiTheme="majorBidi" w:cstheme="majorBidi"/>
          <w:sz w:val="24"/>
          <w:szCs w:val="24"/>
          <w:vertAlign w:val="subscript"/>
        </w:rPr>
        <w:t>2</w:t>
      </w:r>
      <w:r w:rsidR="00FC7223" w:rsidRPr="00B46270">
        <w:rPr>
          <w:rFonts w:asciiTheme="majorBidi" w:hAnsiTheme="majorBidi" w:cstheme="majorBidi"/>
          <w:sz w:val="24"/>
          <w:szCs w:val="24"/>
        </w:rPr>
        <w:t>O/OH</w:t>
      </w:r>
      <w:r w:rsidR="00FC7223" w:rsidRPr="00B46270">
        <w:rPr>
          <w:rFonts w:asciiTheme="majorBidi" w:hAnsiTheme="majorBidi" w:cstheme="majorBidi"/>
          <w:sz w:val="24"/>
          <w:szCs w:val="24"/>
          <w:vertAlign w:val="superscript"/>
        </w:rPr>
        <w:t>-</w:t>
      </w:r>
      <w:r w:rsidR="00FC7223" w:rsidRPr="00B46270">
        <w:rPr>
          <w:rFonts w:asciiTheme="majorBidi" w:hAnsiTheme="majorBidi" w:cstheme="majorBidi"/>
          <w:sz w:val="24"/>
          <w:szCs w:val="24"/>
        </w:rPr>
        <w:t xml:space="preserve"> may be converted into </w:t>
      </w:r>
      <w:r w:rsidR="00FC7223" w:rsidRPr="00B46270">
        <w:rPr>
          <w:rFonts w:asciiTheme="majorBidi" w:hAnsiTheme="majorBidi" w:cstheme="majorBidi"/>
          <w:sz w:val="24"/>
          <w:szCs w:val="24"/>
          <w:vertAlign w:val="superscript"/>
        </w:rPr>
        <w:t>●</w:t>
      </w:r>
      <w:r w:rsidR="00FC7223" w:rsidRPr="00B46270">
        <w:rPr>
          <w:rFonts w:asciiTheme="majorBidi" w:hAnsiTheme="majorBidi" w:cstheme="majorBidi"/>
          <w:sz w:val="24"/>
          <w:szCs w:val="24"/>
        </w:rPr>
        <w:t xml:space="preserve">OH by the </w:t>
      </w:r>
      <w:r w:rsidR="00B34A31" w:rsidRPr="00B46270">
        <w:rPr>
          <w:rFonts w:asciiTheme="majorBidi" w:hAnsiTheme="majorBidi" w:cstheme="majorBidi"/>
          <w:sz w:val="24"/>
          <w:szCs w:val="24"/>
        </w:rPr>
        <w:t xml:space="preserve">photogenerated </w:t>
      </w:r>
      <w:r w:rsidR="00FC7223" w:rsidRPr="00B46270">
        <w:rPr>
          <w:rFonts w:asciiTheme="majorBidi" w:hAnsiTheme="majorBidi" w:cstheme="majorBidi"/>
          <w:sz w:val="24"/>
          <w:szCs w:val="24"/>
        </w:rPr>
        <w:t xml:space="preserve">holes in their </w:t>
      </w:r>
      <w:r w:rsidR="00D71F75" w:rsidRPr="00B46270">
        <w:rPr>
          <w:rFonts w:asciiTheme="majorBidi" w:hAnsiTheme="majorBidi" w:cstheme="majorBidi"/>
          <w:sz w:val="24"/>
          <w:szCs w:val="24"/>
        </w:rPr>
        <w:t>valence bands (</w:t>
      </w:r>
      <w:r w:rsidR="00FC7223" w:rsidRPr="00B46270">
        <w:rPr>
          <w:rFonts w:asciiTheme="majorBidi" w:hAnsiTheme="majorBidi" w:cstheme="majorBidi"/>
          <w:sz w:val="24"/>
          <w:szCs w:val="24"/>
        </w:rPr>
        <w:t>VBs</w:t>
      </w:r>
      <w:r w:rsidR="00D71F75" w:rsidRPr="00B46270">
        <w:rPr>
          <w:rFonts w:asciiTheme="majorBidi" w:hAnsiTheme="majorBidi" w:cstheme="majorBidi"/>
          <w:sz w:val="24"/>
          <w:szCs w:val="24"/>
        </w:rPr>
        <w:t>)</w:t>
      </w:r>
      <w:r w:rsidR="00FC7223" w:rsidRPr="00B46270">
        <w:rPr>
          <w:rFonts w:asciiTheme="majorBidi" w:hAnsiTheme="majorBidi" w:cstheme="majorBidi"/>
          <w:sz w:val="24"/>
          <w:szCs w:val="24"/>
        </w:rPr>
        <w:t>. In the meantime, the Ag nanoparticles quickly absorb</w:t>
      </w:r>
      <w:r w:rsidR="00AA36C3" w:rsidRPr="00B46270">
        <w:rPr>
          <w:rFonts w:asciiTheme="majorBidi" w:hAnsiTheme="majorBidi" w:cstheme="majorBidi"/>
          <w:sz w:val="24"/>
          <w:szCs w:val="24"/>
        </w:rPr>
        <w:t>ed</w:t>
      </w:r>
      <w:r w:rsidR="00FC7223" w:rsidRPr="00B46270">
        <w:rPr>
          <w:rFonts w:asciiTheme="majorBidi" w:hAnsiTheme="majorBidi" w:cstheme="majorBidi"/>
          <w:sz w:val="24"/>
          <w:szCs w:val="24"/>
        </w:rPr>
        <w:t xml:space="preserve"> photogenerated electrons from the </w:t>
      </w:r>
      <w:r w:rsidR="00B34A31" w:rsidRPr="00B46270">
        <w:rPr>
          <w:rFonts w:asciiTheme="majorBidi" w:hAnsiTheme="majorBidi" w:cstheme="majorBidi"/>
          <w:sz w:val="24"/>
          <w:szCs w:val="24"/>
        </w:rPr>
        <w:t xml:space="preserve">CB of </w:t>
      </w:r>
      <w:r w:rsidR="00FC7223" w:rsidRPr="00B46270">
        <w:rPr>
          <w:rFonts w:asciiTheme="majorBidi" w:hAnsiTheme="majorBidi" w:cstheme="majorBidi"/>
          <w:sz w:val="24"/>
          <w:szCs w:val="24"/>
        </w:rPr>
        <w:t>CdS by acting as an electron sink</w:t>
      </w:r>
      <w:r w:rsidR="00B34A31" w:rsidRPr="00B46270">
        <w:rPr>
          <w:rFonts w:asciiTheme="majorBidi" w:hAnsiTheme="majorBidi" w:cstheme="majorBidi"/>
          <w:sz w:val="24"/>
          <w:szCs w:val="24"/>
        </w:rPr>
        <w:t xml:space="preserve"> because of </w:t>
      </w:r>
      <w:r w:rsidR="00D71F75" w:rsidRPr="00B46270">
        <w:rPr>
          <w:rFonts w:asciiTheme="majorBidi" w:hAnsiTheme="majorBidi" w:cstheme="majorBidi"/>
          <w:sz w:val="24"/>
          <w:szCs w:val="24"/>
        </w:rPr>
        <w:t>their</w:t>
      </w:r>
      <w:r w:rsidR="00B34A31" w:rsidRPr="00B46270">
        <w:rPr>
          <w:rFonts w:asciiTheme="majorBidi" w:hAnsiTheme="majorBidi" w:cstheme="majorBidi"/>
          <w:sz w:val="24"/>
          <w:szCs w:val="24"/>
        </w:rPr>
        <w:t xml:space="preserve"> strong Schottky barriers at the metal-semiconductor interface. </w:t>
      </w:r>
      <w:r w:rsidR="00E50FEE" w:rsidRPr="00B46270">
        <w:rPr>
          <w:rFonts w:asciiTheme="majorBidi" w:hAnsiTheme="majorBidi" w:cstheme="majorBidi"/>
          <w:sz w:val="24"/>
          <w:szCs w:val="24"/>
        </w:rPr>
        <w:t xml:space="preserve">It was also possible for the enhanced electrons on the metallic Ag surface to be transferred to the CB of CdS and supported in the oxidation process. This process is known as the SPR effect for Ag metal nanoparticles. Because Ag nanoparticles are visible-photosensitive, </w:t>
      </w:r>
      <w:r w:rsidR="00E50FEE" w:rsidRPr="00B46270">
        <w:rPr>
          <w:rFonts w:asciiTheme="majorBidi" w:hAnsiTheme="majorBidi" w:cstheme="majorBidi"/>
          <w:sz w:val="24"/>
          <w:szCs w:val="24"/>
        </w:rPr>
        <w:lastRenderedPageBreak/>
        <w:t>their surface electron transfer increased the effectiveness of the photocatalyst reaction</w:t>
      </w:r>
      <w:r w:rsidR="000B0CB7" w:rsidRPr="00B46270">
        <w:rPr>
          <w:rFonts w:asciiTheme="majorBidi" w:hAnsiTheme="majorBidi" w:cstheme="majorBidi"/>
          <w:sz w:val="24"/>
          <w:szCs w:val="24"/>
        </w:rPr>
        <w:t xml:space="preserve"> </w:t>
      </w:r>
      <w:r w:rsidR="00E77A79" w:rsidRPr="00B46270">
        <w:rPr>
          <w:rFonts w:asciiTheme="majorBidi" w:hAnsiTheme="majorBidi" w:cstheme="majorBidi"/>
          <w:color w:val="0070C0"/>
          <w:sz w:val="24"/>
          <w:szCs w:val="24"/>
        </w:rPr>
        <w:fldChar w:fldCharType="begin" w:fldLock="1"/>
      </w:r>
      <w:r w:rsidR="00813493" w:rsidRPr="00B46270">
        <w:rPr>
          <w:rFonts w:asciiTheme="majorBidi" w:hAnsiTheme="majorBidi" w:cstheme="majorBidi"/>
          <w:color w:val="0070C0"/>
          <w:sz w:val="24"/>
          <w:szCs w:val="24"/>
        </w:rPr>
        <w:instrText>ADDIN CSL_CITATION {"citationItems":[{"id":"ITEM-1","itemData":{"DOI":"10.1016/j.jphotochem.2023.114997","ISSN":"10106030","abstract":"Antiretroviral drugs (ARVDs) are one of the many classes of emerging pharmaceutical pollutants that have been detected in South African waterbodies in recent years. Efavirenz (EFV) and nevirapine (NVP) are commonly used drugs in antiretroviral therapy (ART) in the region and have been reported to be persistent in wastewater. Their presence in water poses health hazards to human beings and the aquatic environment. It is therefore important that these compounds be remediated from the environment. Visible light activated photocatalysis is one of the sustainable remediation technologies that aptly removes refractory organic contaminants from various water matrices. This study reports for the first time, the synthesis of silver halide doped Mg-Zn-Al LDH clay as a photocatalyst in the degradation of selected ARVDs under visible light irradiation. The physicochemical properties of the photocatalyst were elucidated using a range of characterization techniques. Response surface modelling was used to evaluate the interactions between the independent variables: initial pH of the solution, photocatalyst loading and initial concentration of the pollutants. The results showed that there were significant interactions between initial concentration and photocatalyst loading for EFV degradation while the interactions between photocatalyst loading and initial concentration, and initial pH of the solution and photocatalyst loading were significant for NVP degradation. The highest degradation efficiencies were 84 and 100% for EFV and NVP, respectively. Scavenger tests revealed that the hydroxyl free radicals and photo-induced holes were the dominant active species that promoted the degradation of ARVDs. The synthesized photocatalyst nanocomposite demonstrated its efficacy in degradation of ARVDs in water under visible light irradiation.","author":[{"dropping-particle":"","family":"Tabana","given":"Lehlogonolo","non-dropping-particle":"","parse-names":false,"suffix":""},{"dropping-particle":"","family":"Booysens","given":"Davy Rayn","non-dropping-particle":"","parse-names":false,"suffix":""},{"dropping-particle":"","family":"Tichapondwa","given":"Shepherd","non-dropping-particle":"","parse-names":false,"suffix":""}],"container-title":"Journal of Photochemistry and Photobiology A: Chemistry","id":"ITEM-1","issue":"July","issued":{"date-parts":[["2023"]]},"page":"114997","publisher":"Elsevier B.V.","title":"Photocatalytic degradation of efavirenz and nevirapine using visible light-activated Ag-AgBr-LDH nanocomposite catalyst","type":"article-journal","volume":"444"},"uris":["http://www.mendeley.com/documents/?uuid=5bfe394d-96ae-4d72-9ee0-9dec93a0e4c7"]}],"mendeley":{"formattedCitation":"&lt;sup&gt;6&lt;/sup&gt;","plainTextFormattedCitation":"6","previouslyFormattedCitation":"&lt;sup&gt;6&lt;/sup&gt;"},"properties":{"noteIndex":0},"schema":"https://github.com/citation-style-language/schema/raw/master/csl-citation.json"}</w:instrText>
      </w:r>
      <w:r w:rsidR="00E77A79" w:rsidRPr="00B46270">
        <w:rPr>
          <w:rFonts w:asciiTheme="majorBidi" w:hAnsiTheme="majorBidi" w:cstheme="majorBidi"/>
          <w:color w:val="0070C0"/>
          <w:sz w:val="24"/>
          <w:szCs w:val="24"/>
        </w:rPr>
        <w:fldChar w:fldCharType="separate"/>
      </w:r>
      <w:r w:rsidR="005F0C92" w:rsidRPr="00B46270">
        <w:rPr>
          <w:rFonts w:asciiTheme="majorBidi" w:hAnsiTheme="majorBidi" w:cstheme="majorBidi"/>
          <w:noProof/>
          <w:color w:val="0070C0"/>
          <w:sz w:val="24"/>
          <w:szCs w:val="24"/>
          <w:vertAlign w:val="superscript"/>
        </w:rPr>
        <w:t>6</w:t>
      </w:r>
      <w:r w:rsidR="00E77A79" w:rsidRPr="00B46270">
        <w:rPr>
          <w:rFonts w:asciiTheme="majorBidi" w:hAnsiTheme="majorBidi" w:cstheme="majorBidi"/>
          <w:color w:val="0070C0"/>
          <w:sz w:val="24"/>
          <w:szCs w:val="24"/>
        </w:rPr>
        <w:fldChar w:fldCharType="end"/>
      </w:r>
      <w:r w:rsidR="00E50FEE" w:rsidRPr="00B46270">
        <w:rPr>
          <w:rFonts w:asciiTheme="majorBidi" w:hAnsiTheme="majorBidi" w:cstheme="majorBidi"/>
          <w:sz w:val="24"/>
          <w:szCs w:val="24"/>
        </w:rPr>
        <w:t>.</w:t>
      </w:r>
      <w:r w:rsidR="005828E6" w:rsidRPr="00B46270">
        <w:rPr>
          <w:rFonts w:asciiTheme="majorBidi" w:hAnsiTheme="majorBidi" w:cstheme="majorBidi"/>
          <w:sz w:val="24"/>
          <w:szCs w:val="24"/>
        </w:rPr>
        <w:t xml:space="preserve"> </w:t>
      </w:r>
      <w:r w:rsidR="00E50FEE" w:rsidRPr="00B46270">
        <w:rPr>
          <w:rFonts w:asciiTheme="majorBidi" w:hAnsiTheme="majorBidi" w:cstheme="majorBidi"/>
          <w:sz w:val="24"/>
          <w:szCs w:val="24"/>
        </w:rPr>
        <w:t>On the o</w:t>
      </w:r>
      <w:r w:rsidR="005828E6" w:rsidRPr="00B46270">
        <w:rPr>
          <w:rFonts w:asciiTheme="majorBidi" w:hAnsiTheme="majorBidi" w:cstheme="majorBidi"/>
          <w:sz w:val="24"/>
          <w:szCs w:val="24"/>
        </w:rPr>
        <w:t>ther</w:t>
      </w:r>
      <w:r w:rsidR="00E50FEE" w:rsidRPr="00B46270">
        <w:rPr>
          <w:rFonts w:asciiTheme="majorBidi" w:hAnsiTheme="majorBidi" w:cstheme="majorBidi"/>
          <w:sz w:val="24"/>
          <w:szCs w:val="24"/>
        </w:rPr>
        <w:t xml:space="preserve"> hand, the Ag doping made the bandgap narrow in the band </w:t>
      </w:r>
      <w:r w:rsidR="005828E6" w:rsidRPr="00B46270">
        <w:rPr>
          <w:rFonts w:asciiTheme="majorBidi" w:hAnsiTheme="majorBidi" w:cstheme="majorBidi"/>
          <w:sz w:val="24"/>
          <w:szCs w:val="24"/>
        </w:rPr>
        <w:t xml:space="preserve">catalyst </w:t>
      </w:r>
      <w:r w:rsidR="00E50FEE" w:rsidRPr="00B46270">
        <w:rPr>
          <w:rFonts w:asciiTheme="majorBidi" w:hAnsiTheme="majorBidi" w:cstheme="majorBidi"/>
          <w:sz w:val="24"/>
          <w:szCs w:val="24"/>
        </w:rPr>
        <w:t xml:space="preserve">structure and </w:t>
      </w:r>
      <w:r w:rsidR="005828E6" w:rsidRPr="00B46270">
        <w:rPr>
          <w:rFonts w:asciiTheme="majorBidi" w:hAnsiTheme="majorBidi" w:cstheme="majorBidi"/>
          <w:sz w:val="24"/>
          <w:szCs w:val="24"/>
        </w:rPr>
        <w:t>improved</w:t>
      </w:r>
      <w:r w:rsidR="00E50FEE" w:rsidRPr="00B46270">
        <w:rPr>
          <w:rFonts w:asciiTheme="majorBidi" w:hAnsiTheme="majorBidi" w:cstheme="majorBidi"/>
          <w:sz w:val="24"/>
          <w:szCs w:val="24"/>
        </w:rPr>
        <w:t xml:space="preserve"> the optical absorption capacity.</w:t>
      </w:r>
      <w:r w:rsidR="005828E6" w:rsidRPr="00B46270">
        <w:rPr>
          <w:rFonts w:asciiTheme="majorBidi" w:hAnsiTheme="majorBidi" w:cstheme="majorBidi"/>
          <w:sz w:val="24"/>
          <w:szCs w:val="24"/>
        </w:rPr>
        <w:t xml:space="preserve"> Finally, the </w:t>
      </w:r>
      <w:r w:rsidR="00E77A79" w:rsidRPr="00B46270">
        <w:rPr>
          <w:rFonts w:asciiTheme="majorBidi" w:hAnsiTheme="majorBidi" w:cstheme="majorBidi"/>
          <w:sz w:val="24"/>
          <w:szCs w:val="24"/>
        </w:rPr>
        <w:t xml:space="preserve">produced </w:t>
      </w:r>
      <w:r w:rsidR="005828E6" w:rsidRPr="00B46270">
        <w:rPr>
          <w:rFonts w:asciiTheme="majorBidi" w:hAnsiTheme="majorBidi" w:cstheme="majorBidi"/>
          <w:sz w:val="24"/>
          <w:szCs w:val="24"/>
        </w:rPr>
        <w:t xml:space="preserve">superoxide and hydroxyl radicals oxidized </w:t>
      </w:r>
      <w:r w:rsidR="00B17CA9" w:rsidRPr="00B46270">
        <w:rPr>
          <w:noProof/>
        </w:rPr>
        <w:drawing>
          <wp:anchor distT="0" distB="0" distL="114300" distR="114300" simplePos="0" relativeHeight="251659264" behindDoc="1" locked="0" layoutInCell="1" allowOverlap="1" wp14:anchorId="35752D09" wp14:editId="4F84072E">
            <wp:simplePos x="0" y="0"/>
            <wp:positionH relativeFrom="column">
              <wp:posOffset>831850</wp:posOffset>
            </wp:positionH>
            <wp:positionV relativeFrom="paragraph">
              <wp:posOffset>1003300</wp:posOffset>
            </wp:positionV>
            <wp:extent cx="4177665" cy="2692400"/>
            <wp:effectExtent l="0" t="0" r="0" b="0"/>
            <wp:wrapTight wrapText="bothSides">
              <wp:wrapPolygon edited="0">
                <wp:start x="0" y="0"/>
                <wp:lineTo x="0" y="21396"/>
                <wp:lineTo x="21472" y="21396"/>
                <wp:lineTo x="21472" y="0"/>
                <wp:lineTo x="0" y="0"/>
              </wp:wrapPolygon>
            </wp:wrapTight>
            <wp:docPr id="53715617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401" t="10057" r="13141" b="6831"/>
                    <a:stretch/>
                  </pic:blipFill>
                  <pic:spPr bwMode="auto">
                    <a:xfrm>
                      <a:off x="0" y="0"/>
                      <a:ext cx="4177665" cy="2692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8E6" w:rsidRPr="00B46270">
        <w:rPr>
          <w:rFonts w:asciiTheme="majorBidi" w:hAnsiTheme="majorBidi" w:cstheme="majorBidi"/>
          <w:sz w:val="24"/>
          <w:szCs w:val="24"/>
        </w:rPr>
        <w:t>2,4-D into CO</w:t>
      </w:r>
      <w:r w:rsidR="005828E6" w:rsidRPr="00B46270">
        <w:rPr>
          <w:rFonts w:asciiTheme="majorBidi" w:hAnsiTheme="majorBidi" w:cstheme="majorBidi"/>
          <w:sz w:val="24"/>
          <w:szCs w:val="24"/>
          <w:vertAlign w:val="subscript"/>
        </w:rPr>
        <w:t xml:space="preserve">2 </w:t>
      </w:r>
      <w:r w:rsidR="005828E6" w:rsidRPr="00B46270">
        <w:rPr>
          <w:rFonts w:asciiTheme="majorBidi" w:hAnsiTheme="majorBidi" w:cstheme="majorBidi"/>
          <w:sz w:val="24"/>
          <w:szCs w:val="24"/>
        </w:rPr>
        <w:t>and H</w:t>
      </w:r>
      <w:r w:rsidR="005828E6" w:rsidRPr="00B46270">
        <w:rPr>
          <w:rFonts w:asciiTheme="majorBidi" w:hAnsiTheme="majorBidi" w:cstheme="majorBidi"/>
          <w:sz w:val="24"/>
          <w:szCs w:val="24"/>
          <w:vertAlign w:val="subscript"/>
        </w:rPr>
        <w:t>2</w:t>
      </w:r>
      <w:r w:rsidR="005828E6" w:rsidRPr="00B46270">
        <w:rPr>
          <w:rFonts w:asciiTheme="majorBidi" w:hAnsiTheme="majorBidi" w:cstheme="majorBidi"/>
          <w:sz w:val="24"/>
          <w:szCs w:val="24"/>
        </w:rPr>
        <w:t>O</w:t>
      </w:r>
      <w:r w:rsidR="000B0CB7" w:rsidRPr="00B46270">
        <w:rPr>
          <w:rFonts w:asciiTheme="majorBidi" w:hAnsiTheme="majorBidi" w:cstheme="majorBidi"/>
          <w:sz w:val="24"/>
          <w:szCs w:val="24"/>
        </w:rPr>
        <w:t xml:space="preserve"> </w:t>
      </w:r>
      <w:r w:rsidR="000B0CB7" w:rsidRPr="00B46270">
        <w:rPr>
          <w:rFonts w:asciiTheme="majorBidi" w:hAnsiTheme="majorBidi" w:cstheme="majorBidi"/>
          <w:color w:val="0070C0"/>
          <w:sz w:val="24"/>
          <w:szCs w:val="24"/>
        </w:rPr>
        <w:fldChar w:fldCharType="begin" w:fldLock="1"/>
      </w:r>
      <w:r w:rsidR="00813493" w:rsidRPr="00B46270">
        <w:rPr>
          <w:rFonts w:asciiTheme="majorBidi" w:hAnsiTheme="majorBidi" w:cstheme="majorBidi"/>
          <w:color w:val="0070C0"/>
          <w:sz w:val="24"/>
          <w:szCs w:val="24"/>
        </w:rPr>
        <w:instrText>ADDIN CSL_CITATION {"citationItems":[{"id":"ITEM-1","itemData":{"DOI":"10.1016/j.seppur.2022.122562","ISSN":"18733794","abstract":"In the paper, the phosphorus-doped g-C3N4 (PCN) photocatalyst was synthesized by thermal polycondensation, and its photocatalytic performance and mechanism for 2,4-dichlorophenoxyacetic acid (2,4-D) degradation were investigated. Element composition and bonding analysis identified that P atoms replaced some carbon atoms in g-C3N4. Optical property and photoelectrochemistry analysis showed that P doping weakened the bandgap of g-C3N4 and enhanced the rate of photogenerated charge migration. The density of states calculated by density functional theory (DFT) indicated that the above results were due to the formation of impurity levels by P doping. The PCN with the best performance possessed 5 times the photodegradation rate for 2,4-D compared with pure g-C3N4. ·O2– and h+ played important roles during the photodegradation of 2,4-D. The difference charge densities and O2 adsorption model showed that P doping changed the catalytic reaction site and promoted O2 adsorption, thus generating more ·O2–.","author":[{"dropping-particle":"","family":"Bi","given":"Lanbo","non-dropping-particle":"","parse-names":false,"suffix":""},{"dropping-particle":"","family":"Fu","given":"Gang","non-dropping-particle":"","parse-names":false,"suffix":""},{"dropping-particle":"","family":"Cai","given":"Daxing","non-dropping-particle":"","parse-names":false,"suffix":""},{"dropping-particle":"","family":"Shen","given":"Jimin","non-dropping-particle":"","parse-names":false,"suffix":""},{"dropping-particle":"","family":"Zhang","given":"Jiaxu","non-dropping-particle":"","parse-names":false,"suffix":""},{"dropping-particle":"","family":"Kang","given":"Jing","non-dropping-particle":"","parse-names":false,"suffix":""},{"dropping-particle":"","family":"Cheng","given":"Yizhen","non-dropping-particle":"","parse-names":false,"suffix":""},{"dropping-particle":"","family":"Yan","given":"Pengwei","non-dropping-particle":"","parse-names":false,"suffix":""},{"dropping-particle":"","family":"Zhou","given":"Yanchi","non-dropping-particle":"","parse-names":false,"suffix":""},{"dropping-particle":"","family":"Chen","given":"Zhonglin","non-dropping-particle":"","parse-names":false,"suffix":""}],"container-title":"Separation and Purification Technology","id":"ITEM-1","issue":"PA","issued":{"date-parts":[["2023"]]},"page":"122562","publisher":"Elsevier B.V.","title":"Electron rich P doped g-C3N4 for photodegradation of 2,4-dichlorophenoxyacetic acid under visible light by improving oxygen adsorption: Performance and catalytic mechanism","type":"article-journal","volume":"306"},"uris":["http://www.mendeley.com/documents/?uuid=f4b6588c-7436-4cff-ad84-193e27249134"]}],"mendeley":{"formattedCitation":"&lt;sup&gt;7&lt;/sup&gt;","plainTextFormattedCitation":"7","previouslyFormattedCitation":"&lt;sup&gt;7&lt;/sup&gt;"},"properties":{"noteIndex":0},"schema":"https://github.com/citation-style-language/schema/raw/master/csl-citation.json"}</w:instrText>
      </w:r>
      <w:r w:rsidR="000B0CB7" w:rsidRPr="00B46270">
        <w:rPr>
          <w:rFonts w:asciiTheme="majorBidi" w:hAnsiTheme="majorBidi" w:cstheme="majorBidi"/>
          <w:color w:val="0070C0"/>
          <w:sz w:val="24"/>
          <w:szCs w:val="24"/>
        </w:rPr>
        <w:fldChar w:fldCharType="separate"/>
      </w:r>
      <w:r w:rsidR="005F0C92" w:rsidRPr="00B46270">
        <w:rPr>
          <w:rFonts w:asciiTheme="majorBidi" w:hAnsiTheme="majorBidi" w:cstheme="majorBidi"/>
          <w:noProof/>
          <w:color w:val="0070C0"/>
          <w:sz w:val="24"/>
          <w:szCs w:val="24"/>
          <w:vertAlign w:val="superscript"/>
        </w:rPr>
        <w:t>7</w:t>
      </w:r>
      <w:r w:rsidR="000B0CB7" w:rsidRPr="00B46270">
        <w:rPr>
          <w:rFonts w:asciiTheme="majorBidi" w:hAnsiTheme="majorBidi" w:cstheme="majorBidi"/>
          <w:color w:val="0070C0"/>
          <w:sz w:val="24"/>
          <w:szCs w:val="24"/>
        </w:rPr>
        <w:fldChar w:fldCharType="end"/>
      </w:r>
      <w:r w:rsidR="005828E6" w:rsidRPr="00B46270">
        <w:rPr>
          <w:rFonts w:asciiTheme="majorBidi" w:hAnsiTheme="majorBidi" w:cstheme="majorBidi"/>
          <w:sz w:val="24"/>
          <w:szCs w:val="24"/>
        </w:rPr>
        <w:t>.</w:t>
      </w:r>
      <w:r w:rsidR="00813493" w:rsidRPr="00B46270">
        <w:rPr>
          <w:rFonts w:asciiTheme="majorBidi" w:hAnsiTheme="majorBidi" w:cstheme="majorBidi"/>
          <w:sz w:val="24"/>
          <w:szCs w:val="24"/>
        </w:rPr>
        <w:t xml:space="preserve"> This mechanism aligned with those of related studies  </w:t>
      </w:r>
      <w:r w:rsidR="00813493" w:rsidRPr="00B46270">
        <w:rPr>
          <w:rFonts w:asciiTheme="majorBidi" w:hAnsiTheme="majorBidi" w:cstheme="majorBidi"/>
          <w:color w:val="4472C4" w:themeColor="accent1"/>
          <w:sz w:val="24"/>
          <w:szCs w:val="24"/>
        </w:rPr>
        <w:fldChar w:fldCharType="begin" w:fldLock="1"/>
      </w:r>
      <w:r w:rsidR="00813493" w:rsidRPr="00B46270">
        <w:rPr>
          <w:rFonts w:asciiTheme="majorBidi" w:hAnsiTheme="majorBidi" w:cstheme="majorBidi"/>
          <w:color w:val="4472C4" w:themeColor="accent1"/>
          <w:sz w:val="24"/>
          <w:szCs w:val="24"/>
        </w:rPr>
        <w:instrText>ADDIN CSL_CITATION {"citationItems":[{"id":"ITEM-1","itemData":{"DOI":"10.1016/j.jphotochem.2022.114107","ISSN":"10106030","abstract":"Graphitic carbon nitride is a material of interest in photocatalysis because of its ability to absorb light in the visible region of the solar system due to its narrow bandgap. In addition, it is inert and has high thermal stability. Herein, we have functionalized graphitic carbon nitride with silver nanoparticles in order to enhance its photocatalytic efficiency. The nanocomposite (gC3N4/Ag) obtained was characterized by using X-ray diffraction (XRD), fourier transform infrared spectroscopy (FTIR), scanning electron microscope (SEM), transmission electron microscope (TEM) and Energy-dispersive X-ray spectroscopy (EDS). The nanocomposite was used as a photocatalyst to reduce hexavalent chromium under visible light, and it displayed better photocatalytic performance than the pristine graphitic carbon nitride. Also, the antioxidant and antimicrobial properties of the silver-functionalized graphitic carbon nitride were studied, which also showed improved activities that were significantly better than those of pristine graphitic carbon nitride. The DPPH antioxidant properties also showed better efficiency than ascorbic acid, which was used as the positive control. Furthermore, the nanocomposite exhibited good antimicrobial activity against pure bacterial cultures isolated from a meat sample, with minimum inhibition of above 9.0 mm against Escherichia coli and Serratia marcescens.","author":[{"dropping-particle":"","family":"Ajiboye","given":"Timothy O.","non-dropping-particle":"","parse-names":false,"suffix":""},{"dropping-particle":"","family":"Imade","given":"Emmanuel E.","non-dropping-particle":"","parse-names":false,"suffix":""},{"dropping-particle":"","family":"Oyewo","given":"Opeyemi A.","non-dropping-particle":"","parse-names":false,"suffix":""},{"dropping-particle":"","family":"Onwudiwe","given":"Damian C.","non-dropping-particle":"","parse-names":false,"suffix":""}],"container-title":"Journal of Photochemistry and Photobiology A: Chemistry","id":"ITEM-1","issue":"May","issued":{"date-parts":[["2022"]]},"page":"114107","publisher":"Elsevier B.V.","title":"Silver functionalized gC3N4: Photocatalytic potency for chromium(VI) reduction, and evaluation of the antioxidant and antimicrobial properties","type":"article-journal","volume":"432"},"uris":["http://www.mendeley.com/documents/?uuid=60255e02-ad5f-4442-99f7-e54d8a000b6b"]},{"id":"ITEM-2","itemData":{"DOI":"10.1016/j.jes.2023.09.006","ISSN":"18787320","PMID":"39095178","abstract":"For environmental applications, it is crucial to rationally design and synthesize photocatalysts with positive exciton splitting and interfacial charge transfer. Here, a novel Ag-bridged dual Z-scheme Ag/g-C3N4/CoNi-LDH plasmonic heterojunction was successfully synthesized using a simple method, with the goal of overcoming the common drawbacks of traditional photocatalysts such as weak photoresponsivity, rapid combination of photo-generated carriers, and unstable structure. These materials were characterized by XRD, FT–IR, SEM, TEM UV–Vis/DRS, and XPS to verify the structure and stability of the heterostructure. The pristine LDH, g-C3N4, and Ag/g-C3N4/CoNi-LDH composite were investigated as photocatalysts for water remediation, an environmentally motivated process. Specifically, the photocatalytic degradation of tetracycline was studied as a model reaction. The performance of the supports and composite catalyst were determined by evaluating both the degradation and adsorption phenomenon. The influence of several experimental parameters such as catalyst loading, pH, and tetracycline concentration were evaluated. The current study provides important data for water treatment and similar environmental protection applications.","author":[{"dropping-particle":"","family":"Fazaeli","given":"Razieh","non-dropping-particle":"","parse-names":false,"suffix":""},{"dropping-particle":"","family":"Aliyan","given":"Hamid","non-dropping-particle":"","parse-names":false,"suffix":""},{"dropping-particle":"","family":"Richeson","given":"Darrin","non-dropping-particle":"","parse-names":false,"suffix":""},{"dropping-particle":"","family":"Li","given":"Yuning","non-dropping-particle":"","parse-names":false,"suffix":""}],"container-title":"Journal of Environmental Sciences (China)","id":"ITEM-2","issue":"xxxx","issued":{"date-parts":[["2025"]]},"page":"437-450","publisher":"Elsevier B.V.","title":"A comparison increasing the photodegradation power of a Ag/g–C3N4 /CoNi–LDH nanocomposite: Photocatalytic activity toward water treatment","type":"article-journal","volume":"148"},"uris":["http://www.mendeley.com/documents/?uuid=0526add2-6b26-47b4-b823-2313d15de621"]},{"id":"ITEM-3","itemData":{"DOI":"10.1016/j.jphotochem.2023.114997","ISSN":"10106030","abstract":"Antiretroviral drugs (ARVDs) are one of the many classes of emerging pharmaceutical pollutants that have been detected in South African waterbodies in recent years. Efavirenz (EFV) and nevirapine (NVP) are commonly used drugs in antiretroviral therapy (ART) in the region and have been reported to be persistent in wastewater. Their presence in water poses health hazards to human beings and the aquatic environment. It is therefore important that these compounds be remediated from the environment. Visible light activated photocatalysis is one of the sustainable remediation technologies that aptly removes refractory organic contaminants from various water matrices. This study reports for the first time, the synthesis of silver halide doped Mg-Zn-Al LDH clay as a photocatalyst in the degradation of selected ARVDs under visible light irradiation. The physicochemical properties of the photocatalyst were elucidated using a range of characterization techniques. Response surface modelling was used to evaluate the interactions between the independent variables: initial pH of the solution, photocatalyst loading and initial concentration of the pollutants. The results showed that there were significant interactions between initial concentration and photocatalyst loading for EFV degradation while the interactions between photocatalyst loading and initial concentration, and initial pH of the solution and photocatalyst loading were significant for NVP degradation. The highest degradation efficiencies were 84 and 100% for EFV and NVP, respectively. Scavenger tests revealed that the hydroxyl free radicals and photo-induced holes were the dominant active species that promoted the degradation of ARVDs. The synthesized photocatalyst nanocomposite demonstrated its efficacy in degradation of ARVDs in water under visible light irradiation.","author":[{"dropping-particle":"","family":"Tabana","given":"Lehlogonolo","non-dropping-particle":"","parse-names":false,"suffix":""},{"dropping-particle":"","family":"Booysens","given":"Davy Rayn","non-dropping-particle":"","parse-names":false,"suffix":""},{"dropping-particle":"","family":"Tichapondwa","given":"Shepherd","non-dropping-particle":"","parse-names":false,"suffix":""}],"container-title":"Journal of Photochemistry and Photobiology A: Chemistry","id":"ITEM-3","issue":"July","issued":{"date-parts":[["2023"]]},"page":"114997","publisher":"Elsevier B.V.","title":"Photocatalytic degradation of efavirenz and nevirapine using visible light-activated Ag-AgBr-LDH nanocomposite catalyst","type":"article-journal","volume":"444"},"uris":["http://www.mendeley.com/documents/?uuid=5bfe394d-96ae-4d72-9ee0-9dec93a0e4c7"]},{"id":"ITEM-4","itemData":{"DOI":"10.1007/s11581-020-03677-4","ISBN":"1158102003","ISSN":"18620760","abstract":"Ceria nanoparticles (CeO2-R, R = 2, 5, 10 g/L, where R is the PVP concentration) were successfully synthesized by using a microwave interface method and a PVP surfactant, based on microwave heating and vapor–liquid diffusion. The effect of PVP concentration on the structure, morphology, and the photocatalytic properties was investigated. With the increase of PVP concentration, the particle size of the spherical CeO2-R nanoparticles decreases, the Ce3+ concentration increased, the specific surface area and the light absorption capacity initially increased and then decreased. The CeO2-R (R = 5) sample with the strongest light absorption ability and the largest specific surface area has the highest photodegradation efficiency for methylene blue (MB) under UV irradiation, reaching 95% within 150 min. The degradation efficiency decreased slightly from 95 to 92% after five cycles. This indicates that the CeO2-R sample has excellent stability and good application prospect in organic dye degradation.","author":[{"dropping-particle":"","family":"Chen","given":"Huan huan","non-dropping-particle":"","parse-names":false,"suffix":""},{"dropping-particle":"","family":"Luo","given":"Shao hua","non-dropping-particle":"","parse-names":false,"suffix":""},{"dropping-particle":"","family":"Lei","given":"Xue fei","non-dropping-particle":"","parse-names":false,"suffix":""},{"dropping-particle":"","family":"Liu","given":"Huan","non-dropping-particle":"","parse-names":false,"suffix":""},{"dropping-particle":"","family":"Liu","given":"Ying ying","non-dropping-particle":"","parse-names":false,"suffix":""},{"dropping-particle":"","family":"Xu","given":"Xiao yu","non-dropping-particle":"","parse-names":false,"suffix":""},{"dropping-particle":"","family":"Jiang","given":"Ze hua","non-dropping-particle":"","parse-names":false,"suffix":""},{"dropping-particle":"","family":"Li","given":"Xiao dong","non-dropping-particle":"","parse-names":false,"suffix":""}],"container-title":"Ionics","id":"ITEM-4","issue":"11","issued":{"date-parts":[["2020"]]},"page":"5829-5839","publisher":"Ionics","title":"Synthesis and photocatalytic performance of nano-CeO2 by a PVP-assisted microwave interface method for organic dye degradation","type":"article-journal","volume":"26"},"uris":["http://www.mendeley.com/documents/?uuid=47e7583e-6121-4870-bc87-11585ee6abb3"]}],"mendeley":{"formattedCitation":"&lt;sup&gt;6,8–10&lt;/sup&gt;","plainTextFormattedCitation":"6,8–10","previouslyFormattedCitation":"&lt;sup&gt;6,8–10&lt;/sup&gt;"},"properties":{"noteIndex":0},"schema":"https://github.com/citation-style-language/schema/raw/master/csl-citation.json"}</w:instrText>
      </w:r>
      <w:r w:rsidR="00813493" w:rsidRPr="00B46270">
        <w:rPr>
          <w:rFonts w:asciiTheme="majorBidi" w:hAnsiTheme="majorBidi" w:cstheme="majorBidi"/>
          <w:color w:val="4472C4" w:themeColor="accent1"/>
          <w:sz w:val="24"/>
          <w:szCs w:val="24"/>
        </w:rPr>
        <w:fldChar w:fldCharType="separate"/>
      </w:r>
      <w:r w:rsidR="00813493" w:rsidRPr="00B46270">
        <w:rPr>
          <w:rFonts w:asciiTheme="majorBidi" w:hAnsiTheme="majorBidi" w:cstheme="majorBidi"/>
          <w:noProof/>
          <w:color w:val="4472C4" w:themeColor="accent1"/>
          <w:sz w:val="24"/>
          <w:szCs w:val="24"/>
          <w:vertAlign w:val="superscript"/>
        </w:rPr>
        <w:t>6,8–10</w:t>
      </w:r>
      <w:r w:rsidR="00813493" w:rsidRPr="00B46270">
        <w:rPr>
          <w:rFonts w:asciiTheme="majorBidi" w:hAnsiTheme="majorBidi" w:cstheme="majorBidi"/>
          <w:color w:val="4472C4" w:themeColor="accent1"/>
          <w:sz w:val="24"/>
          <w:szCs w:val="24"/>
        </w:rPr>
        <w:fldChar w:fldCharType="end"/>
      </w:r>
      <w:r w:rsidR="00813493" w:rsidRPr="00B46270">
        <w:rPr>
          <w:rFonts w:asciiTheme="majorBidi" w:hAnsiTheme="majorBidi" w:cstheme="majorBidi"/>
          <w:sz w:val="24"/>
          <w:szCs w:val="24"/>
        </w:rPr>
        <w:t xml:space="preserve">. </w:t>
      </w:r>
    </w:p>
    <w:p w14:paraId="285DF8BA" w14:textId="6970718E" w:rsidR="0088799D" w:rsidRPr="00B46270" w:rsidRDefault="0088799D" w:rsidP="003865C9">
      <w:pPr>
        <w:spacing w:line="360" w:lineRule="auto"/>
        <w:jc w:val="both"/>
        <w:rPr>
          <w:rFonts w:asciiTheme="majorBidi" w:hAnsiTheme="majorBidi" w:cstheme="majorBidi"/>
          <w:sz w:val="24"/>
          <w:szCs w:val="24"/>
        </w:rPr>
      </w:pPr>
    </w:p>
    <w:p w14:paraId="7F309C21" w14:textId="5FA3E825" w:rsidR="0088799D" w:rsidRPr="00B46270" w:rsidRDefault="0088799D" w:rsidP="003865C9">
      <w:pPr>
        <w:spacing w:line="360" w:lineRule="auto"/>
        <w:jc w:val="both"/>
        <w:rPr>
          <w:rFonts w:asciiTheme="majorBidi" w:hAnsiTheme="majorBidi" w:cstheme="majorBidi"/>
          <w:sz w:val="24"/>
          <w:szCs w:val="24"/>
        </w:rPr>
      </w:pPr>
    </w:p>
    <w:p w14:paraId="40655DC1" w14:textId="074E0CE3" w:rsidR="0088799D" w:rsidRPr="00B46270" w:rsidRDefault="0088799D" w:rsidP="003865C9">
      <w:pPr>
        <w:spacing w:line="360" w:lineRule="auto"/>
        <w:jc w:val="both"/>
        <w:rPr>
          <w:rFonts w:asciiTheme="majorBidi" w:hAnsiTheme="majorBidi" w:cstheme="majorBidi"/>
          <w:sz w:val="24"/>
          <w:szCs w:val="24"/>
        </w:rPr>
      </w:pPr>
    </w:p>
    <w:p w14:paraId="766A8655" w14:textId="77777777" w:rsidR="0088799D" w:rsidRPr="00B46270" w:rsidRDefault="0088799D" w:rsidP="003865C9">
      <w:pPr>
        <w:spacing w:line="360" w:lineRule="auto"/>
        <w:jc w:val="both"/>
        <w:rPr>
          <w:rFonts w:asciiTheme="majorBidi" w:hAnsiTheme="majorBidi" w:cstheme="majorBidi"/>
          <w:sz w:val="24"/>
          <w:szCs w:val="24"/>
        </w:rPr>
      </w:pPr>
    </w:p>
    <w:p w14:paraId="5E5C328C" w14:textId="77777777" w:rsidR="0088799D" w:rsidRPr="00B46270" w:rsidRDefault="0088799D" w:rsidP="003865C9">
      <w:pPr>
        <w:spacing w:line="360" w:lineRule="auto"/>
        <w:jc w:val="both"/>
        <w:rPr>
          <w:rFonts w:asciiTheme="majorBidi" w:hAnsiTheme="majorBidi" w:cstheme="majorBidi"/>
          <w:sz w:val="24"/>
          <w:szCs w:val="24"/>
        </w:rPr>
      </w:pPr>
    </w:p>
    <w:p w14:paraId="763EB0C2" w14:textId="77777777" w:rsidR="0088799D" w:rsidRPr="00B46270" w:rsidRDefault="0088799D" w:rsidP="003865C9">
      <w:pPr>
        <w:spacing w:line="360" w:lineRule="auto"/>
        <w:jc w:val="both"/>
        <w:rPr>
          <w:rFonts w:asciiTheme="majorBidi" w:hAnsiTheme="majorBidi" w:cstheme="majorBidi"/>
          <w:sz w:val="24"/>
          <w:szCs w:val="24"/>
        </w:rPr>
      </w:pPr>
    </w:p>
    <w:p w14:paraId="10B2D15E" w14:textId="53154DB9" w:rsidR="0088799D" w:rsidRPr="00B46270" w:rsidRDefault="0088799D" w:rsidP="003865C9">
      <w:pPr>
        <w:spacing w:line="360" w:lineRule="auto"/>
        <w:jc w:val="both"/>
        <w:rPr>
          <w:noProof/>
        </w:rPr>
      </w:pPr>
    </w:p>
    <w:p w14:paraId="4D81B782" w14:textId="739C9217" w:rsidR="0088799D" w:rsidRPr="00B46270" w:rsidRDefault="0088799D" w:rsidP="0088799D">
      <w:pPr>
        <w:tabs>
          <w:tab w:val="left" w:pos="1390"/>
        </w:tabs>
        <w:spacing w:line="360" w:lineRule="auto"/>
        <w:ind w:left="1440" w:right="-360" w:hanging="1440"/>
        <w:jc w:val="center"/>
        <w:rPr>
          <w:rFonts w:ascii="Times New Roman" w:hAnsi="Times New Roman" w:cs="Times New Roman"/>
          <w:b/>
          <w:bCs/>
          <w:sz w:val="24"/>
          <w:szCs w:val="24"/>
        </w:rPr>
      </w:pPr>
      <w:r w:rsidRPr="00B46270">
        <w:rPr>
          <w:rFonts w:asciiTheme="majorBidi" w:hAnsiTheme="majorBidi" w:cstheme="majorBidi"/>
          <w:b/>
          <w:bCs/>
          <w:sz w:val="24"/>
          <w:szCs w:val="24"/>
        </w:rPr>
        <w:t>Fi</w:t>
      </w:r>
      <w:r w:rsidR="00B17CA9" w:rsidRPr="00B46270">
        <w:rPr>
          <w:rFonts w:asciiTheme="majorBidi" w:hAnsiTheme="majorBidi" w:cstheme="majorBidi"/>
          <w:b/>
          <w:bCs/>
          <w:sz w:val="24"/>
          <w:szCs w:val="24"/>
        </w:rPr>
        <w:t>g. S2</w:t>
      </w:r>
      <w:r w:rsidRPr="00B46270">
        <w:rPr>
          <w:rFonts w:asciiTheme="majorBidi" w:hAnsiTheme="majorBidi" w:cstheme="majorBidi"/>
          <w:sz w:val="24"/>
          <w:szCs w:val="24"/>
        </w:rPr>
        <w:t xml:space="preserve">: </w:t>
      </w:r>
      <w:bookmarkStart w:id="1" w:name="_Hlk197439061"/>
      <w:r w:rsidRPr="00B46270">
        <w:rPr>
          <w:rFonts w:asciiTheme="majorBidi" w:hAnsiTheme="majorBidi" w:cstheme="majorBidi"/>
          <w:sz w:val="24"/>
          <w:szCs w:val="24"/>
        </w:rPr>
        <w:t>Photocatalyst reusability</w:t>
      </w:r>
      <w:r w:rsidRPr="00B46270">
        <w:rPr>
          <w:rFonts w:asciiTheme="majorBidi" w:eastAsiaTheme="minorEastAsia" w:hAnsiTheme="majorBidi" w:cstheme="majorBidi"/>
          <w:sz w:val="24"/>
          <w:szCs w:val="24"/>
        </w:rPr>
        <w:t xml:space="preserve"> for the studied photocatalysts.</w:t>
      </w:r>
      <w:bookmarkEnd w:id="1"/>
    </w:p>
    <w:p w14:paraId="7F88315A" w14:textId="589D6F72" w:rsidR="0088799D" w:rsidRPr="00B46270" w:rsidRDefault="00B17CA9" w:rsidP="003865C9">
      <w:pPr>
        <w:spacing w:line="360" w:lineRule="auto"/>
        <w:jc w:val="both"/>
        <w:rPr>
          <w:rFonts w:asciiTheme="majorBidi" w:hAnsiTheme="majorBidi" w:cstheme="majorBidi"/>
          <w:sz w:val="24"/>
          <w:szCs w:val="24"/>
        </w:rPr>
      </w:pPr>
      <w:r w:rsidRPr="00B46270">
        <w:rPr>
          <w:noProof/>
        </w:rPr>
        <w:drawing>
          <wp:anchor distT="0" distB="0" distL="114300" distR="114300" simplePos="0" relativeHeight="251663360" behindDoc="1" locked="0" layoutInCell="1" allowOverlap="1" wp14:anchorId="729FE918" wp14:editId="1A8D5361">
            <wp:simplePos x="0" y="0"/>
            <wp:positionH relativeFrom="column">
              <wp:posOffset>831850</wp:posOffset>
            </wp:positionH>
            <wp:positionV relativeFrom="paragraph">
              <wp:posOffset>40640</wp:posOffset>
            </wp:positionV>
            <wp:extent cx="4254500" cy="3448050"/>
            <wp:effectExtent l="190500" t="171450" r="184150" b="171450"/>
            <wp:wrapTight wrapText="bothSides">
              <wp:wrapPolygon edited="0">
                <wp:start x="-677" y="-1074"/>
                <wp:lineTo x="-967" y="-835"/>
                <wp:lineTo x="-967" y="20884"/>
                <wp:lineTo x="-774" y="22555"/>
                <wp:lineTo x="22245" y="22555"/>
                <wp:lineTo x="22438" y="22077"/>
                <wp:lineTo x="22438" y="1074"/>
                <wp:lineTo x="22148" y="-716"/>
                <wp:lineTo x="22148" y="-1074"/>
                <wp:lineTo x="-677" y="-1074"/>
              </wp:wrapPolygon>
            </wp:wrapTight>
            <wp:docPr id="1282622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622973" name=""/>
                    <pic:cNvPicPr/>
                  </pic:nvPicPr>
                  <pic:blipFill rotWithShape="1">
                    <a:blip r:embed="rId9">
                      <a:extLst>
                        <a:ext uri="{28A0092B-C50C-407E-A947-70E740481C1C}">
                          <a14:useLocalDpi xmlns:a14="http://schemas.microsoft.com/office/drawing/2010/main" val="0"/>
                        </a:ext>
                      </a:extLst>
                    </a:blip>
                    <a:srcRect l="36860" t="38557" r="32905" b="15290"/>
                    <a:stretch/>
                  </pic:blipFill>
                  <pic:spPr bwMode="auto">
                    <a:xfrm>
                      <a:off x="0" y="0"/>
                      <a:ext cx="4254500" cy="3448050"/>
                    </a:xfrm>
                    <a:prstGeom prst="rect">
                      <a:avLst/>
                    </a:prstGeom>
                    <a:solidFill>
                      <a:srgbClr val="FFFFFF">
                        <a:shade val="85000"/>
                      </a:srgbClr>
                    </a:solidFill>
                    <a:ln w="88900" cap="sq">
                      <a:noFill/>
                      <a:miter lim="800000"/>
                    </a:ln>
                    <a:effectLst>
                      <a:glow rad="101600">
                        <a:schemeClr val="accent5">
                          <a:satMod val="175000"/>
                          <a:alpha val="40000"/>
                        </a:schemeClr>
                      </a:glow>
                      <a:outerShdw blurRad="63500" sx="102000" sy="102000" algn="ctr" rotWithShape="0">
                        <a:prstClr val="black">
                          <a:alpha val="40000"/>
                        </a:prstClr>
                      </a:outerShdw>
                    </a:effectLst>
                    <a:scene3d>
                      <a:camera prst="orthographicFront">
                        <a:rot lat="0" lon="0" rev="0"/>
                      </a:camera>
                      <a:lightRig rig="balanced" dir="t">
                        <a:rot lat="0" lon="0" rev="8700000"/>
                      </a:lightRig>
                    </a:scene3d>
                    <a:sp3d>
                      <a:bevelT w="190500" h="38100"/>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830333" w14:textId="77777777" w:rsidR="0088799D" w:rsidRPr="00B46270" w:rsidRDefault="0088799D" w:rsidP="003865C9">
      <w:pPr>
        <w:spacing w:line="360" w:lineRule="auto"/>
        <w:jc w:val="both"/>
        <w:rPr>
          <w:rFonts w:asciiTheme="majorBidi" w:hAnsiTheme="majorBidi" w:cstheme="majorBidi"/>
          <w:sz w:val="24"/>
          <w:szCs w:val="24"/>
        </w:rPr>
      </w:pPr>
    </w:p>
    <w:p w14:paraId="1C4CC03B" w14:textId="77777777" w:rsidR="0088799D" w:rsidRPr="00B46270" w:rsidRDefault="0088799D" w:rsidP="003865C9">
      <w:pPr>
        <w:spacing w:line="360" w:lineRule="auto"/>
        <w:jc w:val="both"/>
        <w:rPr>
          <w:rFonts w:asciiTheme="majorBidi" w:hAnsiTheme="majorBidi" w:cstheme="majorBidi"/>
          <w:sz w:val="24"/>
          <w:szCs w:val="24"/>
        </w:rPr>
      </w:pPr>
    </w:p>
    <w:p w14:paraId="48FCE1BC" w14:textId="77777777" w:rsidR="0088799D" w:rsidRPr="00B46270" w:rsidRDefault="0088799D" w:rsidP="003865C9">
      <w:pPr>
        <w:spacing w:line="360" w:lineRule="auto"/>
        <w:jc w:val="both"/>
        <w:rPr>
          <w:rFonts w:asciiTheme="majorBidi" w:hAnsiTheme="majorBidi" w:cstheme="majorBidi"/>
          <w:sz w:val="24"/>
          <w:szCs w:val="24"/>
        </w:rPr>
      </w:pPr>
    </w:p>
    <w:p w14:paraId="0FF897FF" w14:textId="77777777" w:rsidR="00B17CA9" w:rsidRPr="00B46270" w:rsidRDefault="00B17CA9" w:rsidP="003865C9">
      <w:pPr>
        <w:spacing w:line="360" w:lineRule="auto"/>
        <w:jc w:val="both"/>
        <w:rPr>
          <w:rFonts w:asciiTheme="majorBidi" w:hAnsiTheme="majorBidi" w:cstheme="majorBidi"/>
          <w:sz w:val="24"/>
          <w:szCs w:val="24"/>
        </w:rPr>
      </w:pPr>
    </w:p>
    <w:p w14:paraId="471DCDE3" w14:textId="77777777" w:rsidR="00B17CA9" w:rsidRPr="00B46270" w:rsidRDefault="00B17CA9" w:rsidP="003865C9">
      <w:pPr>
        <w:spacing w:line="360" w:lineRule="auto"/>
        <w:jc w:val="both"/>
        <w:rPr>
          <w:rFonts w:asciiTheme="majorBidi" w:hAnsiTheme="majorBidi" w:cstheme="majorBidi"/>
          <w:sz w:val="24"/>
          <w:szCs w:val="24"/>
        </w:rPr>
      </w:pPr>
    </w:p>
    <w:p w14:paraId="3962020D" w14:textId="77777777" w:rsidR="00B17CA9" w:rsidRPr="00B46270" w:rsidRDefault="00B17CA9" w:rsidP="003865C9">
      <w:pPr>
        <w:spacing w:line="360" w:lineRule="auto"/>
        <w:jc w:val="both"/>
        <w:rPr>
          <w:rFonts w:asciiTheme="majorBidi" w:hAnsiTheme="majorBidi" w:cstheme="majorBidi"/>
          <w:sz w:val="24"/>
          <w:szCs w:val="24"/>
        </w:rPr>
      </w:pPr>
    </w:p>
    <w:p w14:paraId="0A3DA838" w14:textId="77777777" w:rsidR="00B17CA9" w:rsidRPr="00B46270" w:rsidRDefault="00B17CA9" w:rsidP="003865C9">
      <w:pPr>
        <w:spacing w:line="360" w:lineRule="auto"/>
        <w:jc w:val="both"/>
        <w:rPr>
          <w:rFonts w:asciiTheme="majorBidi" w:hAnsiTheme="majorBidi" w:cstheme="majorBidi"/>
          <w:sz w:val="24"/>
          <w:szCs w:val="24"/>
        </w:rPr>
      </w:pPr>
    </w:p>
    <w:p w14:paraId="7BECBEBB" w14:textId="77777777" w:rsidR="00B17CA9" w:rsidRPr="00B46270" w:rsidRDefault="00B17CA9" w:rsidP="003865C9">
      <w:pPr>
        <w:spacing w:line="360" w:lineRule="auto"/>
        <w:jc w:val="both"/>
        <w:rPr>
          <w:rFonts w:asciiTheme="majorBidi" w:hAnsiTheme="majorBidi" w:cstheme="majorBidi"/>
          <w:sz w:val="24"/>
          <w:szCs w:val="24"/>
        </w:rPr>
      </w:pPr>
    </w:p>
    <w:p w14:paraId="68016114" w14:textId="77777777" w:rsidR="00B17CA9" w:rsidRPr="00B46270" w:rsidRDefault="00B17CA9" w:rsidP="003865C9">
      <w:pPr>
        <w:spacing w:line="360" w:lineRule="auto"/>
        <w:jc w:val="both"/>
        <w:rPr>
          <w:rFonts w:asciiTheme="majorBidi" w:hAnsiTheme="majorBidi" w:cstheme="majorBidi"/>
          <w:sz w:val="24"/>
          <w:szCs w:val="24"/>
        </w:rPr>
      </w:pPr>
    </w:p>
    <w:p w14:paraId="18C17835" w14:textId="23F7902A" w:rsidR="00F776ED" w:rsidRPr="00B46270" w:rsidRDefault="00F776ED" w:rsidP="00F776ED">
      <w:pPr>
        <w:tabs>
          <w:tab w:val="left" w:pos="0"/>
          <w:tab w:val="left" w:pos="90"/>
          <w:tab w:val="left" w:pos="9450"/>
        </w:tabs>
        <w:autoSpaceDE w:val="0"/>
        <w:autoSpaceDN w:val="0"/>
        <w:adjustRightInd w:val="0"/>
        <w:spacing w:after="0" w:line="360" w:lineRule="auto"/>
        <w:ind w:right="-540"/>
        <w:jc w:val="center"/>
        <w:rPr>
          <w:rFonts w:asciiTheme="majorBidi" w:hAnsiTheme="majorBidi" w:cstheme="majorBidi"/>
          <w:noProof/>
          <w:sz w:val="24"/>
          <w:szCs w:val="24"/>
        </w:rPr>
      </w:pPr>
      <w:bookmarkStart w:id="2" w:name="_Hlk197287219"/>
      <w:r w:rsidRPr="00B46270">
        <w:rPr>
          <w:rFonts w:asciiTheme="majorBidi" w:hAnsiTheme="majorBidi" w:cstheme="majorBidi"/>
          <w:b/>
          <w:bCs/>
          <w:noProof/>
          <w:sz w:val="24"/>
          <w:szCs w:val="24"/>
        </w:rPr>
        <w:t>Fig. S3.</w:t>
      </w:r>
      <w:r w:rsidRPr="00B46270">
        <w:rPr>
          <w:rFonts w:asciiTheme="majorBidi" w:hAnsiTheme="majorBidi" w:cstheme="majorBidi"/>
          <w:noProof/>
          <w:sz w:val="24"/>
          <w:szCs w:val="24"/>
        </w:rPr>
        <w:t xml:space="preserve"> </w:t>
      </w:r>
      <w:bookmarkStart w:id="3" w:name="_Hlk197439076"/>
      <w:r w:rsidRPr="00B46270">
        <w:rPr>
          <w:rFonts w:ascii="Times New Roman" w:hAnsi="Times New Roman" w:cs="Times New Roman"/>
          <w:sz w:val="24"/>
          <w:szCs w:val="24"/>
        </w:rPr>
        <w:t xml:space="preserve">Mechanism of 2,4-D photodegradation onto </w:t>
      </w:r>
      <w:r w:rsidRPr="00B46270">
        <w:rPr>
          <w:rFonts w:asciiTheme="majorBidi" w:hAnsiTheme="majorBidi" w:cstheme="majorBidi"/>
          <w:sz w:val="24"/>
          <w:szCs w:val="24"/>
        </w:rPr>
        <w:t>Ag@CNFL.</w:t>
      </w:r>
    </w:p>
    <w:bookmarkEnd w:id="2"/>
    <w:bookmarkEnd w:id="3"/>
    <w:p w14:paraId="5AD9CC04" w14:textId="77777777" w:rsidR="00B17CA9" w:rsidRPr="00B46270" w:rsidRDefault="00B17CA9" w:rsidP="003865C9">
      <w:pPr>
        <w:spacing w:line="360" w:lineRule="auto"/>
        <w:jc w:val="both"/>
        <w:rPr>
          <w:rFonts w:asciiTheme="majorBidi" w:hAnsiTheme="majorBidi" w:cstheme="majorBidi"/>
          <w:sz w:val="24"/>
          <w:szCs w:val="24"/>
        </w:rPr>
      </w:pPr>
    </w:p>
    <w:tbl>
      <w:tblPr>
        <w:tblStyle w:val="TableGrid"/>
        <w:tblpPr w:leftFromText="180" w:rightFromText="180" w:vertAnchor="page" w:horzAnchor="page" w:tblpX="3111" w:tblpY="1951"/>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505"/>
        <w:gridCol w:w="1620"/>
      </w:tblGrid>
      <w:tr w:rsidR="00885737" w:rsidRPr="00B46270" w14:paraId="496ED35E" w14:textId="77777777" w:rsidTr="00885737">
        <w:tc>
          <w:tcPr>
            <w:tcW w:w="3505" w:type="dxa"/>
          </w:tcPr>
          <w:p w14:paraId="5BC0BFE3" w14:textId="77777777" w:rsidR="00885737" w:rsidRPr="00B46270" w:rsidRDefault="00885737" w:rsidP="00885737">
            <w:pPr>
              <w:jc w:val="both"/>
              <w:rPr>
                <w:rFonts w:asciiTheme="majorBidi" w:hAnsiTheme="majorBidi" w:cstheme="majorBidi"/>
                <w:b/>
                <w:bCs/>
              </w:rPr>
            </w:pPr>
            <w:bookmarkStart w:id="4" w:name="_Hlk197439164"/>
            <w:r w:rsidRPr="00B46270">
              <w:rPr>
                <w:rFonts w:asciiTheme="majorBidi" w:hAnsiTheme="majorBidi" w:cstheme="majorBidi"/>
                <w:b/>
                <w:bCs/>
              </w:rPr>
              <w:lastRenderedPageBreak/>
              <w:t>Name</w:t>
            </w:r>
          </w:p>
        </w:tc>
        <w:tc>
          <w:tcPr>
            <w:tcW w:w="1620" w:type="dxa"/>
          </w:tcPr>
          <w:p w14:paraId="0C8E480D" w14:textId="77777777" w:rsidR="00885737" w:rsidRPr="00B46270" w:rsidRDefault="00885737" w:rsidP="00885737">
            <w:pPr>
              <w:jc w:val="both"/>
              <w:rPr>
                <w:rFonts w:asciiTheme="majorBidi" w:hAnsiTheme="majorBidi" w:cstheme="majorBidi"/>
                <w:b/>
                <w:bCs/>
              </w:rPr>
            </w:pPr>
            <w:r w:rsidRPr="00B46270">
              <w:rPr>
                <w:rFonts w:asciiTheme="majorBidi" w:hAnsiTheme="majorBidi" w:cstheme="majorBidi"/>
                <w:b/>
                <w:bCs/>
              </w:rPr>
              <w:t>Abbreviation</w:t>
            </w:r>
          </w:p>
        </w:tc>
      </w:tr>
      <w:tr w:rsidR="00885737" w:rsidRPr="00B46270" w14:paraId="1209B897" w14:textId="77777777" w:rsidTr="00885737">
        <w:tc>
          <w:tcPr>
            <w:tcW w:w="3505" w:type="dxa"/>
          </w:tcPr>
          <w:p w14:paraId="3BAFA347"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Layered double hydroxide</w:t>
            </w:r>
          </w:p>
        </w:tc>
        <w:tc>
          <w:tcPr>
            <w:tcW w:w="1620" w:type="dxa"/>
          </w:tcPr>
          <w:p w14:paraId="5C17A45F"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LDH</w:t>
            </w:r>
          </w:p>
        </w:tc>
      </w:tr>
      <w:tr w:rsidR="00885737" w:rsidRPr="00B46270" w14:paraId="504565E2" w14:textId="77777777" w:rsidTr="00885737">
        <w:tc>
          <w:tcPr>
            <w:tcW w:w="3505" w:type="dxa"/>
          </w:tcPr>
          <w:p w14:paraId="19FB37CC"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Zn-Fe</w:t>
            </w:r>
            <w:r w:rsidRPr="00B46270">
              <w:rPr>
                <w:rFonts w:asciiTheme="majorBidi" w:hAnsiTheme="majorBidi" w:cstheme="majorBidi"/>
              </w:rPr>
              <w:t xml:space="preserve"> LDH</w:t>
            </w:r>
          </w:p>
        </w:tc>
        <w:tc>
          <w:tcPr>
            <w:tcW w:w="1620" w:type="dxa"/>
          </w:tcPr>
          <w:p w14:paraId="559856C3"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ZFL</w:t>
            </w:r>
          </w:p>
        </w:tc>
      </w:tr>
      <w:tr w:rsidR="00885737" w:rsidRPr="00B46270" w14:paraId="5B566861" w14:textId="77777777" w:rsidTr="00885737">
        <w:tc>
          <w:tcPr>
            <w:tcW w:w="3505" w:type="dxa"/>
          </w:tcPr>
          <w:p w14:paraId="11627049"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Mg-Fe</w:t>
            </w:r>
            <w:r w:rsidRPr="00B46270">
              <w:rPr>
                <w:rFonts w:asciiTheme="majorBidi" w:hAnsiTheme="majorBidi" w:cstheme="majorBidi"/>
              </w:rPr>
              <w:t xml:space="preserve"> LDH</w:t>
            </w:r>
          </w:p>
        </w:tc>
        <w:tc>
          <w:tcPr>
            <w:tcW w:w="1620" w:type="dxa"/>
          </w:tcPr>
          <w:p w14:paraId="087A6A8D"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MFL</w:t>
            </w:r>
          </w:p>
        </w:tc>
      </w:tr>
      <w:tr w:rsidR="00885737" w:rsidRPr="00B46270" w14:paraId="767BB4F2" w14:textId="77777777" w:rsidTr="00885737">
        <w:tc>
          <w:tcPr>
            <w:tcW w:w="3505" w:type="dxa"/>
          </w:tcPr>
          <w:p w14:paraId="1CEF442E"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Ni-Fe</w:t>
            </w:r>
            <w:r w:rsidRPr="00B46270">
              <w:rPr>
                <w:rFonts w:asciiTheme="majorBidi" w:hAnsiTheme="majorBidi" w:cstheme="majorBidi"/>
              </w:rPr>
              <w:t xml:space="preserve"> LDH</w:t>
            </w:r>
          </w:p>
        </w:tc>
        <w:tc>
          <w:tcPr>
            <w:tcW w:w="1620" w:type="dxa"/>
          </w:tcPr>
          <w:p w14:paraId="2217649E"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NFL</w:t>
            </w:r>
          </w:p>
        </w:tc>
      </w:tr>
      <w:tr w:rsidR="00885737" w:rsidRPr="00B46270" w14:paraId="63D5F40D" w14:textId="77777777" w:rsidTr="00885737">
        <w:tc>
          <w:tcPr>
            <w:tcW w:w="3505" w:type="dxa"/>
          </w:tcPr>
          <w:p w14:paraId="02D9A6EC"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C</w:t>
            </w:r>
            <w:r w:rsidRPr="00B46270">
              <w:rPr>
                <w:rFonts w:asciiTheme="majorBidi" w:hAnsiTheme="majorBidi" w:cstheme="majorBidi"/>
                <w:sz w:val="24"/>
                <w:szCs w:val="24"/>
              </w:rPr>
              <w:t>admium sulfide</w:t>
            </w:r>
          </w:p>
        </w:tc>
        <w:tc>
          <w:tcPr>
            <w:tcW w:w="1620" w:type="dxa"/>
          </w:tcPr>
          <w:p w14:paraId="72E55AB6"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C</w:t>
            </w:r>
          </w:p>
        </w:tc>
      </w:tr>
      <w:tr w:rsidR="00885737" w:rsidRPr="00B46270" w14:paraId="67AAAFF7" w14:textId="77777777" w:rsidTr="00885737">
        <w:tc>
          <w:tcPr>
            <w:tcW w:w="3505" w:type="dxa"/>
          </w:tcPr>
          <w:p w14:paraId="220071EA"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C</w:t>
            </w:r>
            <w:r w:rsidRPr="00B46270">
              <w:rPr>
                <w:rFonts w:asciiTheme="majorBidi" w:hAnsiTheme="majorBidi" w:cstheme="majorBidi"/>
                <w:sz w:val="24"/>
                <w:szCs w:val="24"/>
              </w:rPr>
              <w:t>admium sulfide/Ni-Fe LDH</w:t>
            </w:r>
          </w:p>
        </w:tc>
        <w:tc>
          <w:tcPr>
            <w:tcW w:w="1620" w:type="dxa"/>
          </w:tcPr>
          <w:p w14:paraId="061ED3A9"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CNFL</w:t>
            </w:r>
          </w:p>
        </w:tc>
      </w:tr>
      <w:tr w:rsidR="00885737" w:rsidRPr="00B46270" w14:paraId="537E9EA2" w14:textId="77777777" w:rsidTr="00885737">
        <w:tc>
          <w:tcPr>
            <w:tcW w:w="3505" w:type="dxa"/>
          </w:tcPr>
          <w:p w14:paraId="1A2D9211" w14:textId="77777777" w:rsidR="00885737" w:rsidRPr="00B46270" w:rsidRDefault="00885737" w:rsidP="00885737">
            <w:pPr>
              <w:jc w:val="both"/>
              <w:rPr>
                <w:rFonts w:asciiTheme="majorBidi" w:hAnsiTheme="majorBidi" w:cstheme="majorBidi"/>
              </w:rPr>
            </w:pPr>
            <w:proofErr w:type="spellStart"/>
            <w:r w:rsidRPr="00B46270">
              <w:rPr>
                <w:rFonts w:asciiTheme="majorBidi" w:hAnsiTheme="majorBidi" w:cstheme="majorBidi"/>
                <w:sz w:val="24"/>
                <w:szCs w:val="24"/>
              </w:rPr>
              <w:t>Ag@CdS</w:t>
            </w:r>
            <w:proofErr w:type="spellEnd"/>
            <w:r w:rsidRPr="00B46270">
              <w:rPr>
                <w:rFonts w:asciiTheme="majorBidi" w:hAnsiTheme="majorBidi" w:cstheme="majorBidi"/>
                <w:sz w:val="24"/>
                <w:szCs w:val="24"/>
              </w:rPr>
              <w:t xml:space="preserve">/Ni-Fe LDH </w:t>
            </w:r>
          </w:p>
        </w:tc>
        <w:tc>
          <w:tcPr>
            <w:tcW w:w="1620" w:type="dxa"/>
          </w:tcPr>
          <w:p w14:paraId="614948E7"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Ag@CNFL</w:t>
            </w:r>
          </w:p>
        </w:tc>
      </w:tr>
      <w:tr w:rsidR="00885737" w:rsidRPr="00B46270" w14:paraId="77E33758" w14:textId="77777777" w:rsidTr="00885737">
        <w:tc>
          <w:tcPr>
            <w:tcW w:w="3505" w:type="dxa"/>
          </w:tcPr>
          <w:p w14:paraId="3B988917"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 xml:space="preserve">2,4-dichlorophenoxyacetic acid </w:t>
            </w:r>
          </w:p>
        </w:tc>
        <w:tc>
          <w:tcPr>
            <w:tcW w:w="1620" w:type="dxa"/>
          </w:tcPr>
          <w:p w14:paraId="65D001D5"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 xml:space="preserve">2,4-D </w:t>
            </w:r>
          </w:p>
        </w:tc>
      </w:tr>
      <w:tr w:rsidR="00885737" w:rsidRPr="00B46270" w14:paraId="1690FFE0" w14:textId="77777777" w:rsidTr="00885737">
        <w:tc>
          <w:tcPr>
            <w:tcW w:w="3505" w:type="dxa"/>
          </w:tcPr>
          <w:p w14:paraId="62CF2B8B"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 xml:space="preserve">Surface plasmon resonance </w:t>
            </w:r>
          </w:p>
        </w:tc>
        <w:tc>
          <w:tcPr>
            <w:tcW w:w="1620" w:type="dxa"/>
          </w:tcPr>
          <w:p w14:paraId="40C66803"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SPR</w:t>
            </w:r>
          </w:p>
        </w:tc>
      </w:tr>
      <w:tr w:rsidR="00885737" w:rsidRPr="00B46270" w14:paraId="68C28B45" w14:textId="77777777" w:rsidTr="00885737">
        <w:tc>
          <w:tcPr>
            <w:tcW w:w="3505" w:type="dxa"/>
          </w:tcPr>
          <w:p w14:paraId="53B50479"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 xml:space="preserve">Thermogravimetric </w:t>
            </w:r>
            <w:r w:rsidRPr="00B46270">
              <w:rPr>
                <w:rFonts w:asciiTheme="majorBidi" w:hAnsiTheme="majorBidi" w:cstheme="majorBidi"/>
              </w:rPr>
              <w:t>analysis</w:t>
            </w:r>
          </w:p>
        </w:tc>
        <w:tc>
          <w:tcPr>
            <w:tcW w:w="1620" w:type="dxa"/>
          </w:tcPr>
          <w:p w14:paraId="62797677"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TGA</w:t>
            </w:r>
          </w:p>
        </w:tc>
      </w:tr>
      <w:tr w:rsidR="00885737" w:rsidRPr="00B46270" w14:paraId="2EDE8816" w14:textId="77777777" w:rsidTr="00885737">
        <w:tc>
          <w:tcPr>
            <w:tcW w:w="3505" w:type="dxa"/>
          </w:tcPr>
          <w:p w14:paraId="0A65C051"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 xml:space="preserve">X-ray diffraction </w:t>
            </w:r>
          </w:p>
        </w:tc>
        <w:tc>
          <w:tcPr>
            <w:tcW w:w="1620" w:type="dxa"/>
          </w:tcPr>
          <w:p w14:paraId="7C8FACA1"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XRD</w:t>
            </w:r>
          </w:p>
        </w:tc>
      </w:tr>
      <w:tr w:rsidR="00885737" w:rsidRPr="00B46270" w14:paraId="11D96B4D" w14:textId="77777777" w:rsidTr="00885737">
        <w:tc>
          <w:tcPr>
            <w:tcW w:w="3505" w:type="dxa"/>
          </w:tcPr>
          <w:p w14:paraId="2A17878A"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P</w:t>
            </w:r>
            <w:r w:rsidRPr="00B46270">
              <w:rPr>
                <w:rFonts w:asciiTheme="majorBidi" w:hAnsiTheme="majorBidi" w:cstheme="majorBidi"/>
                <w:sz w:val="24"/>
                <w:szCs w:val="24"/>
              </w:rPr>
              <w:t xml:space="preserve">oint of zero charge </w:t>
            </w:r>
          </w:p>
        </w:tc>
        <w:tc>
          <w:tcPr>
            <w:tcW w:w="1620" w:type="dxa"/>
          </w:tcPr>
          <w:p w14:paraId="63B780EA"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pH</w:t>
            </w:r>
            <w:r w:rsidRPr="00B46270">
              <w:rPr>
                <w:rFonts w:asciiTheme="majorBidi" w:hAnsiTheme="majorBidi" w:cstheme="majorBidi"/>
                <w:sz w:val="24"/>
                <w:szCs w:val="24"/>
                <w:vertAlign w:val="subscript"/>
              </w:rPr>
              <w:t>PZC</w:t>
            </w:r>
          </w:p>
        </w:tc>
      </w:tr>
      <w:tr w:rsidR="00885737" w:rsidRPr="00B46270" w14:paraId="5B8ABB0E" w14:textId="77777777" w:rsidTr="00885737">
        <w:tc>
          <w:tcPr>
            <w:tcW w:w="3505" w:type="dxa"/>
          </w:tcPr>
          <w:p w14:paraId="5CF617BA"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 xml:space="preserve">Diffuse reflectance spectroscopy </w:t>
            </w:r>
          </w:p>
        </w:tc>
        <w:tc>
          <w:tcPr>
            <w:tcW w:w="1620" w:type="dxa"/>
          </w:tcPr>
          <w:p w14:paraId="67F92198"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DRS</w:t>
            </w:r>
          </w:p>
        </w:tc>
      </w:tr>
      <w:tr w:rsidR="00885737" w:rsidRPr="00B46270" w14:paraId="6218485D" w14:textId="77777777" w:rsidTr="00885737">
        <w:tc>
          <w:tcPr>
            <w:tcW w:w="3505" w:type="dxa"/>
          </w:tcPr>
          <w:p w14:paraId="7436E512"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 xml:space="preserve">Scanning electron microscopy </w:t>
            </w:r>
          </w:p>
        </w:tc>
        <w:tc>
          <w:tcPr>
            <w:tcW w:w="1620" w:type="dxa"/>
          </w:tcPr>
          <w:p w14:paraId="78FECD56"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 xml:space="preserve">SEM </w:t>
            </w:r>
          </w:p>
        </w:tc>
      </w:tr>
      <w:tr w:rsidR="00885737" w:rsidRPr="00B46270" w14:paraId="4D388D60" w14:textId="77777777" w:rsidTr="00885737">
        <w:tc>
          <w:tcPr>
            <w:tcW w:w="3505" w:type="dxa"/>
          </w:tcPr>
          <w:p w14:paraId="589CF5D2"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T</w:t>
            </w:r>
            <w:r w:rsidRPr="00B46270">
              <w:rPr>
                <w:rFonts w:asciiTheme="majorBidi" w:hAnsiTheme="majorBidi" w:cstheme="majorBidi"/>
                <w:sz w:val="24"/>
                <w:szCs w:val="24"/>
              </w:rPr>
              <w:t xml:space="preserve">ransmission electron microscopy </w:t>
            </w:r>
          </w:p>
        </w:tc>
        <w:tc>
          <w:tcPr>
            <w:tcW w:w="1620" w:type="dxa"/>
          </w:tcPr>
          <w:p w14:paraId="188F518F"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sz w:val="24"/>
                <w:szCs w:val="24"/>
              </w:rPr>
              <w:t>TEM</w:t>
            </w:r>
          </w:p>
        </w:tc>
      </w:tr>
      <w:tr w:rsidR="00885737" w:rsidRPr="00B46270" w14:paraId="5937C8E4" w14:textId="77777777" w:rsidTr="00885737">
        <w:tc>
          <w:tcPr>
            <w:tcW w:w="3505" w:type="dxa"/>
          </w:tcPr>
          <w:p w14:paraId="0D947F15" w14:textId="77777777" w:rsidR="00885737" w:rsidRPr="00B46270" w:rsidRDefault="00885737" w:rsidP="00885737">
            <w:pPr>
              <w:jc w:val="both"/>
              <w:rPr>
                <w:rFonts w:asciiTheme="majorBidi" w:hAnsiTheme="majorBidi" w:cstheme="majorBidi"/>
              </w:rPr>
            </w:pPr>
            <w:r w:rsidRPr="00B46270">
              <w:rPr>
                <w:rFonts w:asciiTheme="majorBidi" w:eastAsiaTheme="minorEastAsia" w:hAnsiTheme="majorBidi" w:cstheme="majorBidi"/>
              </w:rPr>
              <w:t>P</w:t>
            </w:r>
            <w:r w:rsidRPr="00B46270">
              <w:rPr>
                <w:rFonts w:asciiTheme="majorBidi" w:eastAsiaTheme="minorEastAsia" w:hAnsiTheme="majorBidi" w:cstheme="majorBidi"/>
                <w:sz w:val="24"/>
                <w:szCs w:val="24"/>
              </w:rPr>
              <w:t>seudo-</w:t>
            </w:r>
            <w:proofErr w:type="gramStart"/>
            <w:r w:rsidRPr="00B46270">
              <w:rPr>
                <w:rFonts w:asciiTheme="majorBidi" w:eastAsiaTheme="minorEastAsia" w:hAnsiTheme="majorBidi" w:cstheme="majorBidi"/>
                <w:sz w:val="24"/>
                <w:szCs w:val="24"/>
              </w:rPr>
              <w:t>first-order</w:t>
            </w:r>
            <w:proofErr w:type="gramEnd"/>
            <w:r w:rsidRPr="00B46270">
              <w:rPr>
                <w:rFonts w:asciiTheme="majorBidi" w:eastAsiaTheme="minorEastAsia" w:hAnsiTheme="majorBidi" w:cstheme="majorBidi"/>
                <w:sz w:val="24"/>
                <w:szCs w:val="24"/>
              </w:rPr>
              <w:t xml:space="preserve"> </w:t>
            </w:r>
          </w:p>
        </w:tc>
        <w:tc>
          <w:tcPr>
            <w:tcW w:w="1620" w:type="dxa"/>
          </w:tcPr>
          <w:p w14:paraId="14DC0EFD" w14:textId="77777777" w:rsidR="00885737" w:rsidRPr="00B46270" w:rsidRDefault="00885737" w:rsidP="00885737">
            <w:pPr>
              <w:jc w:val="both"/>
              <w:rPr>
                <w:rFonts w:asciiTheme="majorBidi" w:hAnsiTheme="majorBidi" w:cstheme="majorBidi"/>
              </w:rPr>
            </w:pPr>
            <w:r w:rsidRPr="00B46270">
              <w:rPr>
                <w:rFonts w:asciiTheme="majorBidi" w:hAnsiTheme="majorBidi" w:cstheme="majorBidi"/>
              </w:rPr>
              <w:t>PFO</w:t>
            </w:r>
          </w:p>
        </w:tc>
      </w:tr>
      <w:tr w:rsidR="00885737" w:rsidRPr="00B46270" w14:paraId="498FFEBA" w14:textId="77777777" w:rsidTr="00885737">
        <w:tc>
          <w:tcPr>
            <w:tcW w:w="3505" w:type="dxa"/>
          </w:tcPr>
          <w:p w14:paraId="4C22A985" w14:textId="77777777" w:rsidR="00885737" w:rsidRPr="00B46270" w:rsidRDefault="00885737" w:rsidP="00885737">
            <w:pPr>
              <w:jc w:val="both"/>
              <w:rPr>
                <w:rFonts w:asciiTheme="majorBidi" w:hAnsiTheme="majorBidi" w:cstheme="majorBidi"/>
              </w:rPr>
            </w:pPr>
            <w:r w:rsidRPr="00B46270">
              <w:rPr>
                <w:rFonts w:asciiTheme="majorBidi" w:eastAsiaTheme="minorEastAsia" w:hAnsiTheme="majorBidi" w:cstheme="majorBidi"/>
              </w:rPr>
              <w:t>P</w:t>
            </w:r>
            <w:r w:rsidRPr="00B46270">
              <w:rPr>
                <w:rFonts w:asciiTheme="majorBidi" w:eastAsiaTheme="minorEastAsia" w:hAnsiTheme="majorBidi" w:cstheme="majorBidi"/>
                <w:sz w:val="24"/>
                <w:szCs w:val="24"/>
              </w:rPr>
              <w:t>seudo-</w:t>
            </w:r>
            <w:proofErr w:type="gramStart"/>
            <w:r w:rsidRPr="00B46270">
              <w:rPr>
                <w:rFonts w:asciiTheme="majorBidi" w:eastAsiaTheme="minorEastAsia" w:hAnsiTheme="majorBidi" w:cstheme="majorBidi"/>
                <w:sz w:val="24"/>
                <w:szCs w:val="24"/>
              </w:rPr>
              <w:t>second-order</w:t>
            </w:r>
            <w:proofErr w:type="gramEnd"/>
            <w:r w:rsidRPr="00B46270">
              <w:rPr>
                <w:rFonts w:asciiTheme="majorBidi" w:eastAsiaTheme="minorEastAsia" w:hAnsiTheme="majorBidi" w:cstheme="majorBidi"/>
                <w:sz w:val="24"/>
                <w:szCs w:val="24"/>
              </w:rPr>
              <w:t xml:space="preserve"> </w:t>
            </w:r>
          </w:p>
        </w:tc>
        <w:tc>
          <w:tcPr>
            <w:tcW w:w="1620" w:type="dxa"/>
          </w:tcPr>
          <w:p w14:paraId="68CE3339" w14:textId="77777777" w:rsidR="00885737" w:rsidRPr="00B46270" w:rsidRDefault="00885737" w:rsidP="00885737">
            <w:pPr>
              <w:jc w:val="both"/>
              <w:rPr>
                <w:rFonts w:asciiTheme="majorBidi" w:hAnsiTheme="majorBidi" w:cstheme="majorBidi"/>
              </w:rPr>
            </w:pPr>
            <w:r w:rsidRPr="00B46270">
              <w:rPr>
                <w:rFonts w:asciiTheme="majorBidi" w:eastAsiaTheme="minorEastAsia" w:hAnsiTheme="majorBidi" w:cstheme="majorBidi"/>
                <w:sz w:val="24"/>
                <w:szCs w:val="24"/>
              </w:rPr>
              <w:t>PSO</w:t>
            </w:r>
          </w:p>
        </w:tc>
      </w:tr>
      <w:tr w:rsidR="00885737" w:rsidRPr="00B46270" w14:paraId="36B6693E" w14:textId="77777777" w:rsidTr="00885737">
        <w:tc>
          <w:tcPr>
            <w:tcW w:w="3505" w:type="dxa"/>
          </w:tcPr>
          <w:p w14:paraId="342C0A6D" w14:textId="77777777" w:rsidR="00885737" w:rsidRPr="00B46270" w:rsidRDefault="00885737" w:rsidP="00885737">
            <w:pPr>
              <w:jc w:val="both"/>
              <w:rPr>
                <w:rFonts w:asciiTheme="majorBidi" w:hAnsiTheme="majorBidi" w:cstheme="majorBidi"/>
              </w:rPr>
            </w:pPr>
            <w:r w:rsidRPr="00B46270">
              <w:rPr>
                <w:rFonts w:asciiTheme="majorBidi" w:eastAsiaTheme="minorEastAsia" w:hAnsiTheme="majorBidi" w:cstheme="majorBidi"/>
                <w:sz w:val="24"/>
                <w:szCs w:val="24"/>
              </w:rPr>
              <w:t xml:space="preserve">Dubinin-Radushkevich </w:t>
            </w:r>
          </w:p>
        </w:tc>
        <w:tc>
          <w:tcPr>
            <w:tcW w:w="1620" w:type="dxa"/>
          </w:tcPr>
          <w:p w14:paraId="1898BDCF" w14:textId="77777777" w:rsidR="00885737" w:rsidRPr="00B46270" w:rsidRDefault="00885737" w:rsidP="00885737">
            <w:pPr>
              <w:jc w:val="both"/>
              <w:rPr>
                <w:rFonts w:asciiTheme="majorBidi" w:hAnsiTheme="majorBidi" w:cstheme="majorBidi"/>
              </w:rPr>
            </w:pPr>
            <w:r w:rsidRPr="00B46270">
              <w:rPr>
                <w:rFonts w:asciiTheme="majorBidi" w:eastAsiaTheme="minorEastAsia" w:hAnsiTheme="majorBidi" w:cstheme="majorBidi"/>
                <w:sz w:val="24"/>
                <w:szCs w:val="24"/>
              </w:rPr>
              <w:t>DR</w:t>
            </w:r>
          </w:p>
        </w:tc>
      </w:tr>
      <w:tr w:rsidR="00885737" w:rsidRPr="00B46270" w14:paraId="4EBEF075" w14:textId="77777777" w:rsidTr="00885737">
        <w:tc>
          <w:tcPr>
            <w:tcW w:w="3505" w:type="dxa"/>
          </w:tcPr>
          <w:p w14:paraId="0EF04E76" w14:textId="77777777" w:rsidR="00885737" w:rsidRPr="00B46270" w:rsidRDefault="00885737" w:rsidP="00885737">
            <w:pPr>
              <w:jc w:val="both"/>
              <w:rPr>
                <w:rFonts w:asciiTheme="majorBidi" w:eastAsiaTheme="minorEastAsia" w:hAnsiTheme="majorBidi" w:cstheme="majorBidi"/>
              </w:rPr>
            </w:pPr>
            <w:r w:rsidRPr="00B46270">
              <w:rPr>
                <w:rFonts w:asciiTheme="majorBidi" w:hAnsiTheme="majorBidi" w:cstheme="majorBidi"/>
              </w:rPr>
              <w:t xml:space="preserve">Langmuir-Hinshelwood </w:t>
            </w:r>
          </w:p>
        </w:tc>
        <w:tc>
          <w:tcPr>
            <w:tcW w:w="1620" w:type="dxa"/>
          </w:tcPr>
          <w:p w14:paraId="33FEBDAA" w14:textId="77777777" w:rsidR="00885737" w:rsidRPr="00B46270" w:rsidRDefault="00885737" w:rsidP="00885737">
            <w:pPr>
              <w:jc w:val="both"/>
              <w:rPr>
                <w:rFonts w:asciiTheme="majorBidi" w:eastAsiaTheme="minorEastAsia" w:hAnsiTheme="majorBidi" w:cstheme="majorBidi"/>
              </w:rPr>
            </w:pPr>
            <w:r w:rsidRPr="00B46270">
              <w:rPr>
                <w:rFonts w:asciiTheme="majorBidi" w:hAnsiTheme="majorBidi" w:cstheme="majorBidi"/>
              </w:rPr>
              <w:t>L-H</w:t>
            </w:r>
          </w:p>
        </w:tc>
      </w:tr>
    </w:tbl>
    <w:p w14:paraId="17DF9B75" w14:textId="77777777" w:rsidR="00885737" w:rsidRPr="00B46270" w:rsidRDefault="00885737" w:rsidP="00885737">
      <w:pPr>
        <w:spacing w:line="360" w:lineRule="auto"/>
        <w:jc w:val="both"/>
        <w:rPr>
          <w:rFonts w:asciiTheme="majorBidi" w:hAnsiTheme="majorBidi" w:cstheme="majorBidi"/>
          <w:sz w:val="24"/>
          <w:szCs w:val="24"/>
        </w:rPr>
      </w:pPr>
      <w:r w:rsidRPr="00B46270">
        <w:rPr>
          <w:rFonts w:asciiTheme="majorBidi" w:hAnsiTheme="majorBidi" w:cstheme="majorBidi"/>
          <w:sz w:val="24"/>
          <w:szCs w:val="24"/>
        </w:rPr>
        <w:t xml:space="preserve">  </w:t>
      </w:r>
      <w:r w:rsidRPr="00B46270">
        <w:rPr>
          <w:rFonts w:asciiTheme="majorBidi" w:hAnsiTheme="majorBidi" w:cstheme="majorBidi"/>
          <w:b/>
          <w:bCs/>
          <w:sz w:val="24"/>
          <w:szCs w:val="24"/>
        </w:rPr>
        <w:t>Table S1:</w:t>
      </w:r>
      <w:r w:rsidRPr="00B46270">
        <w:rPr>
          <w:rFonts w:asciiTheme="majorBidi" w:hAnsiTheme="majorBidi" w:cstheme="majorBidi"/>
          <w:sz w:val="24"/>
          <w:szCs w:val="24"/>
        </w:rPr>
        <w:t xml:space="preserve"> Some abbreviations.</w:t>
      </w:r>
    </w:p>
    <w:p w14:paraId="5CAA4200"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0E359A13"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6278DC91"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522666F2"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3D6992C1"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43B9B045"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764F2345"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57C2DB65"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46F8B434"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25299419"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2F66614D"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3AA2A0CD"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68B3B7E6"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7292B64B"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A21CCC4"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68BB92C8"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7BD69414"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62082A07"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59E14DC8"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32EB7287"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3C4B291A"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54B5F9E2"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0B20111"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48C06685"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9769DC8"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04217423"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74AA907"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7A88301F"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DDC5991"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E1A6D3E"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2EB18444"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1DC6BA7"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2AADCCDE"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59B05BB8"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7DA42D4F"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283B25F"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08EC868E"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1CBCB771"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4BD220B1"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59EABA5F"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23CD96A1"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3E3834F4" w14:textId="77777777" w:rsidR="00885737" w:rsidRPr="00B46270" w:rsidRDefault="00885737" w:rsidP="00F776ED">
      <w:pPr>
        <w:tabs>
          <w:tab w:val="left" w:pos="90"/>
        </w:tabs>
        <w:spacing w:after="0" w:line="240" w:lineRule="auto"/>
        <w:ind w:left="720" w:right="-540" w:hanging="720"/>
        <w:jc w:val="both"/>
        <w:rPr>
          <w:rFonts w:asciiTheme="majorBidi" w:hAnsiTheme="majorBidi" w:cstheme="majorBidi"/>
          <w:b/>
          <w:bCs/>
          <w:sz w:val="24"/>
          <w:szCs w:val="24"/>
          <w:lang w:val="en-GB"/>
        </w:rPr>
      </w:pPr>
    </w:p>
    <w:p w14:paraId="2C160AF4" w14:textId="6440455E" w:rsidR="00F776ED" w:rsidRPr="00B46270" w:rsidRDefault="00F776ED" w:rsidP="00F776ED">
      <w:pPr>
        <w:tabs>
          <w:tab w:val="left" w:pos="90"/>
        </w:tabs>
        <w:spacing w:after="0" w:line="240" w:lineRule="auto"/>
        <w:ind w:left="720" w:right="-540" w:hanging="720"/>
        <w:jc w:val="both"/>
        <w:rPr>
          <w:rFonts w:asciiTheme="majorBidi" w:hAnsiTheme="majorBidi" w:cstheme="majorBidi"/>
          <w:sz w:val="24"/>
          <w:szCs w:val="24"/>
          <w:lang w:val="en-GB"/>
        </w:rPr>
      </w:pPr>
      <w:r w:rsidRPr="00B46270">
        <w:rPr>
          <w:rFonts w:asciiTheme="majorBidi" w:hAnsiTheme="majorBidi" w:cstheme="majorBidi"/>
          <w:b/>
          <w:bCs/>
          <w:sz w:val="24"/>
          <w:szCs w:val="24"/>
          <w:lang w:val="en-GB"/>
        </w:rPr>
        <w:lastRenderedPageBreak/>
        <w:t>Table S</w:t>
      </w:r>
      <w:r w:rsidR="00885737" w:rsidRPr="00B46270">
        <w:rPr>
          <w:rFonts w:asciiTheme="majorBidi" w:hAnsiTheme="majorBidi" w:cstheme="majorBidi"/>
          <w:b/>
          <w:bCs/>
          <w:sz w:val="24"/>
          <w:szCs w:val="24"/>
          <w:lang w:val="en-GB"/>
        </w:rPr>
        <w:t>2</w:t>
      </w:r>
      <w:r w:rsidRPr="00B46270">
        <w:rPr>
          <w:rFonts w:asciiTheme="majorBidi" w:hAnsiTheme="majorBidi" w:cstheme="majorBidi"/>
          <w:b/>
          <w:bCs/>
          <w:sz w:val="24"/>
          <w:szCs w:val="24"/>
          <w:lang w:val="en-GB"/>
        </w:rPr>
        <w:t xml:space="preserve">: </w:t>
      </w:r>
      <w:r w:rsidRPr="00B46270">
        <w:rPr>
          <w:rFonts w:asciiTheme="majorBidi" w:hAnsiTheme="majorBidi" w:cstheme="majorBidi"/>
          <w:sz w:val="24"/>
          <w:szCs w:val="24"/>
          <w:lang w:val="en-GB"/>
        </w:rPr>
        <w:t>Comparison of the maximum efficiency of 2,4-D</w:t>
      </w:r>
      <w:r w:rsidRPr="00B46270">
        <w:rPr>
          <w:rFonts w:asciiTheme="majorBidi" w:hAnsiTheme="majorBidi" w:cstheme="majorBidi"/>
          <w:sz w:val="24"/>
          <w:szCs w:val="24"/>
          <w:vertAlign w:val="superscript"/>
          <w:lang w:val="en-GB"/>
        </w:rPr>
        <w:t xml:space="preserve"> </w:t>
      </w:r>
      <w:r w:rsidRPr="00B46270">
        <w:rPr>
          <w:rFonts w:asciiTheme="majorBidi" w:hAnsiTheme="majorBidi" w:cstheme="majorBidi"/>
          <w:sz w:val="24"/>
          <w:szCs w:val="24"/>
          <w:lang w:val="en-GB"/>
        </w:rPr>
        <w:t xml:space="preserve">removal onto NFL and </w:t>
      </w:r>
      <w:r w:rsidRPr="00B46270">
        <w:rPr>
          <w:rFonts w:asciiTheme="majorBidi" w:hAnsiTheme="majorBidi" w:cstheme="majorBidi"/>
          <w:sz w:val="24"/>
          <w:szCs w:val="24"/>
        </w:rPr>
        <w:t>Ag@CNFL</w:t>
      </w:r>
      <w:r w:rsidRPr="00B46270">
        <w:rPr>
          <w:rFonts w:asciiTheme="majorBidi" w:hAnsiTheme="majorBidi" w:cstheme="majorBidi"/>
          <w:sz w:val="24"/>
          <w:szCs w:val="24"/>
          <w:lang w:val="en-GB"/>
        </w:rPr>
        <w:t xml:space="preserve"> with other materials. (Note: g/L and mg/L units refer to sample dosage and 2,4-D concentration, respectively). </w:t>
      </w:r>
    </w:p>
    <w:bookmarkEnd w:id="4"/>
    <w:p w14:paraId="45E8BC8B" w14:textId="77777777" w:rsidR="00B17CA9" w:rsidRPr="00B46270" w:rsidRDefault="00B17CA9" w:rsidP="003865C9">
      <w:pPr>
        <w:spacing w:line="360" w:lineRule="auto"/>
        <w:jc w:val="both"/>
        <w:rPr>
          <w:rFonts w:asciiTheme="majorBidi" w:hAnsiTheme="majorBidi" w:cstheme="majorBidi"/>
          <w:sz w:val="24"/>
          <w:szCs w:val="24"/>
          <w:lang w:val="en-GB"/>
        </w:rPr>
      </w:pPr>
    </w:p>
    <w:tbl>
      <w:tblPr>
        <w:tblStyle w:val="TableGrid"/>
        <w:tblpPr w:leftFromText="180" w:rightFromText="180" w:vertAnchor="page" w:horzAnchor="margin" w:tblpY="2451"/>
        <w:tblW w:w="10051" w:type="dxa"/>
        <w:tblBorders>
          <w:left w:val="none" w:sz="0" w:space="0" w:color="auto"/>
          <w:right w:val="none" w:sz="0" w:space="0" w:color="auto"/>
          <w:insideV w:val="none" w:sz="0" w:space="0" w:color="auto"/>
        </w:tblBorders>
        <w:tblLook w:val="04A0" w:firstRow="1" w:lastRow="0" w:firstColumn="1" w:lastColumn="0" w:noHBand="0" w:noVBand="1"/>
      </w:tblPr>
      <w:tblGrid>
        <w:gridCol w:w="1638"/>
        <w:gridCol w:w="221"/>
        <w:gridCol w:w="2810"/>
        <w:gridCol w:w="1910"/>
        <w:gridCol w:w="1449"/>
        <w:gridCol w:w="2023"/>
      </w:tblGrid>
      <w:tr w:rsidR="00813493" w:rsidRPr="00B46270" w14:paraId="338FE564" w14:textId="77777777" w:rsidTr="00885737">
        <w:trPr>
          <w:trHeight w:val="352"/>
        </w:trPr>
        <w:tc>
          <w:tcPr>
            <w:tcW w:w="1638" w:type="dxa"/>
          </w:tcPr>
          <w:p w14:paraId="1B3B2A34" w14:textId="77777777" w:rsidR="00813493" w:rsidRPr="00B46270" w:rsidRDefault="00813493" w:rsidP="00885737">
            <w:pPr>
              <w:rPr>
                <w:rFonts w:asciiTheme="majorBidi" w:hAnsiTheme="majorBidi" w:cstheme="majorBidi"/>
                <w:b/>
                <w:bCs/>
                <w:sz w:val="24"/>
                <w:szCs w:val="24"/>
                <w:lang w:val="en-GB"/>
              </w:rPr>
            </w:pPr>
            <w:r w:rsidRPr="00B46270">
              <w:rPr>
                <w:rFonts w:asciiTheme="majorBidi" w:hAnsiTheme="majorBidi" w:cstheme="majorBidi"/>
                <w:b/>
                <w:bCs/>
                <w:sz w:val="24"/>
                <w:szCs w:val="24"/>
                <w:lang w:val="en-GB"/>
              </w:rPr>
              <w:t>Materials</w:t>
            </w:r>
          </w:p>
        </w:tc>
        <w:tc>
          <w:tcPr>
            <w:tcW w:w="3031" w:type="dxa"/>
            <w:gridSpan w:val="2"/>
          </w:tcPr>
          <w:p w14:paraId="47CED545" w14:textId="77777777" w:rsidR="00813493" w:rsidRPr="00B46270" w:rsidRDefault="00813493" w:rsidP="00885737">
            <w:pPr>
              <w:jc w:val="center"/>
              <w:rPr>
                <w:rFonts w:asciiTheme="majorBidi" w:hAnsiTheme="majorBidi" w:cstheme="majorBidi"/>
                <w:b/>
                <w:bCs/>
                <w:sz w:val="24"/>
                <w:szCs w:val="24"/>
                <w:lang w:val="en-GB"/>
              </w:rPr>
            </w:pPr>
            <w:r w:rsidRPr="00B46270">
              <w:rPr>
                <w:rFonts w:asciiTheme="majorBidi" w:hAnsiTheme="majorBidi" w:cstheme="majorBidi"/>
                <w:b/>
                <w:bCs/>
                <w:sz w:val="24"/>
                <w:szCs w:val="24"/>
                <w:lang w:val="en-GB"/>
              </w:rPr>
              <w:t>Available conditions</w:t>
            </w:r>
          </w:p>
        </w:tc>
        <w:tc>
          <w:tcPr>
            <w:tcW w:w="1910" w:type="dxa"/>
          </w:tcPr>
          <w:p w14:paraId="64D8A3BD" w14:textId="77777777" w:rsidR="00813493" w:rsidRPr="00B46270" w:rsidRDefault="00813493" w:rsidP="00885737">
            <w:pPr>
              <w:jc w:val="center"/>
              <w:rPr>
                <w:rFonts w:asciiTheme="majorBidi" w:hAnsiTheme="majorBidi" w:cstheme="majorBidi"/>
                <w:b/>
                <w:bCs/>
                <w:sz w:val="24"/>
                <w:szCs w:val="24"/>
                <w:lang w:val="en-GB"/>
              </w:rPr>
            </w:pPr>
            <w:r w:rsidRPr="00B46270">
              <w:rPr>
                <w:rFonts w:asciiTheme="majorBidi" w:hAnsiTheme="majorBidi" w:cstheme="majorBidi"/>
                <w:b/>
                <w:bCs/>
                <w:sz w:val="24"/>
                <w:szCs w:val="24"/>
                <w:lang w:val="en-GB"/>
              </w:rPr>
              <w:t>Technique</w:t>
            </w:r>
          </w:p>
        </w:tc>
        <w:tc>
          <w:tcPr>
            <w:tcW w:w="1449" w:type="dxa"/>
          </w:tcPr>
          <w:p w14:paraId="660E642C" w14:textId="77777777" w:rsidR="00813493" w:rsidRPr="00B46270" w:rsidRDefault="00813493" w:rsidP="00885737">
            <w:pPr>
              <w:jc w:val="center"/>
              <w:rPr>
                <w:rFonts w:asciiTheme="majorBidi" w:hAnsiTheme="majorBidi" w:cstheme="majorBidi"/>
                <w:b/>
                <w:bCs/>
                <w:sz w:val="24"/>
                <w:szCs w:val="24"/>
                <w:lang w:val="en-GB"/>
              </w:rPr>
            </w:pPr>
            <w:r w:rsidRPr="00B46270">
              <w:rPr>
                <w:rFonts w:asciiTheme="majorBidi" w:hAnsiTheme="majorBidi" w:cstheme="majorBidi"/>
                <w:b/>
                <w:bCs/>
                <w:sz w:val="24"/>
                <w:szCs w:val="24"/>
                <w:lang w:val="en-GB"/>
              </w:rPr>
              <w:t xml:space="preserve">Capacity </w:t>
            </w:r>
          </w:p>
        </w:tc>
        <w:tc>
          <w:tcPr>
            <w:tcW w:w="2023" w:type="dxa"/>
          </w:tcPr>
          <w:p w14:paraId="5125D602" w14:textId="77777777" w:rsidR="00813493" w:rsidRPr="00B46270" w:rsidRDefault="00813493" w:rsidP="00885737">
            <w:pPr>
              <w:jc w:val="center"/>
              <w:rPr>
                <w:rFonts w:asciiTheme="majorBidi" w:hAnsiTheme="majorBidi" w:cstheme="majorBidi"/>
                <w:b/>
                <w:bCs/>
                <w:sz w:val="24"/>
                <w:szCs w:val="24"/>
                <w:lang w:val="en-GB"/>
              </w:rPr>
            </w:pPr>
            <w:r w:rsidRPr="00B46270">
              <w:rPr>
                <w:rFonts w:asciiTheme="majorBidi" w:hAnsiTheme="majorBidi" w:cstheme="majorBidi"/>
                <w:b/>
                <w:bCs/>
                <w:sz w:val="24"/>
                <w:szCs w:val="24"/>
                <w:lang w:val="en-GB"/>
              </w:rPr>
              <w:t>References</w:t>
            </w:r>
          </w:p>
        </w:tc>
      </w:tr>
      <w:tr w:rsidR="00813493" w:rsidRPr="00B46270" w14:paraId="33CF6C1B" w14:textId="77777777" w:rsidTr="00885737">
        <w:trPr>
          <w:trHeight w:val="279"/>
        </w:trPr>
        <w:tc>
          <w:tcPr>
            <w:tcW w:w="1859" w:type="dxa"/>
            <w:gridSpan w:val="2"/>
          </w:tcPr>
          <w:p w14:paraId="325FFEED"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PT-1</w:t>
            </w:r>
          </w:p>
        </w:tc>
        <w:tc>
          <w:tcPr>
            <w:tcW w:w="2810" w:type="dxa"/>
          </w:tcPr>
          <w:p w14:paraId="27C39C85"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 xml:space="preserve">pH 5, 0.5 g/L, 30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 0.5 h</w:t>
            </w:r>
          </w:p>
        </w:tc>
        <w:tc>
          <w:tcPr>
            <w:tcW w:w="1910" w:type="dxa"/>
          </w:tcPr>
          <w:p w14:paraId="16586CAA"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594D8122"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rPr>
              <w:t>19.10 mg/g</w:t>
            </w:r>
          </w:p>
        </w:tc>
        <w:tc>
          <w:tcPr>
            <w:tcW w:w="2023" w:type="dxa"/>
          </w:tcPr>
          <w:p w14:paraId="0D5FEB38"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{"citationItems":[{"id":"ITEM-1","itemData":{"DOI":"10.1016/j.chemosphere.2022.134360","ISSN":"18791298","PMID":"35318015","abstract":"Polyaniline supported titanium dioxide nanoparticles (PTs) were fabricated using chemical oxidative aniline polymerization in the presence of titanium dioxide with ammonium peroxydisulfate as an oxidant. The synthesized PTs were thoroughly characterized for their morphological and functional features. PTs were employed for the photodegradation of acidic herbicides; 2,4-dichlorophenoxyacetic acid (2,4-D) and triclopyr acid (TCP). PT's surface modifications were imparted and their herbicide removal efficiencies were compared. The best operating conditions for adsorption/photocatalysis were 0.5 g/L photocatalyst, 10 mg/L concentration of individual herbicides resulted in 90.72% removal of TCP at pH 4 and 99.91% removal of 2,4-D at pH 5. Adsorption kinetics of herbicides, onto PT-1 showed the equilibrium attainment within 30 min and experimental data obeyed pseudo-second order model for TCP and 2,4-D removal which was governed by chemisorption. Analysis of TCP and 2,4-D adsorption indicated that the removal followed Sips model for TCP removal while Redlich-Peterson model explained the removal of 2,4-D by PT-1. Rate constants indicated that the amount of TiO2 in the PTs played an important role in removing the herbicides and PT-1 material excellent remarkable activity for three cycles of photodegradation. Thus, this work reports the polymerization of aniline onto TiO2 and their utility as photocatalyst for the expulsion of 2,4-D and TCP from water.","author":[{"dropping-particle":"","family":"Moradeeya","given":"Pareshkumar G.","non-dropping-particle":"","parse-names":false,"suffix":""},{"dropping-particle":"","family":"Kumar","given":"Madhava Anil","non-dropping-particle":"","parse-names":false,"suffix":""},{"dropping-particle":"","family":"Sharma","given":"Archana","non-dropping-particle":"","parse-names":false,"suffix":""},{"dropping-particle":"","family":"Basha","given":"Shaik","non-dropping-particle":"","parse-names":false,"suffix":""}],"container-title":"Chemosphere","id":"ITEM-1","issue":"February","issued":{"date-parts":[["2022"]]},"page":"134360","publisher":"Elsevier Ltd","title":"Conductive polymer layered semiconductor for degradation of triclopyr acid and 2,4-dichlorophenoxyacetic acid from aqueous stream using coalesce adsorption-photocatalysis technique","type":"article-journal","volume":"298"},"uris":["http://www.mendeley.com/documents/?uuid=df0b66db-36af-4f6f-98af-1485d5378362"]}],"mendeley":{"formattedCitation":"&lt;sup&gt;2&lt;/sup&gt;","plainTextFormattedCitation":"2","previouslyFormattedCitation":"&lt;sup&gt;2&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2</w:t>
            </w:r>
            <w:r w:rsidRPr="00B46270">
              <w:rPr>
                <w:rFonts w:asciiTheme="majorBidi" w:hAnsiTheme="majorBidi" w:cstheme="majorBidi"/>
                <w:color w:val="4472C4" w:themeColor="accent1"/>
                <w:sz w:val="24"/>
                <w:szCs w:val="24"/>
                <w:lang w:val="en-GB"/>
              </w:rPr>
              <w:fldChar w:fldCharType="end"/>
            </w:r>
          </w:p>
        </w:tc>
      </w:tr>
      <w:tr w:rsidR="00813493" w:rsidRPr="00B46270" w14:paraId="1E22ECAB" w14:textId="77777777" w:rsidTr="00885737">
        <w:trPr>
          <w:trHeight w:val="279"/>
        </w:trPr>
        <w:tc>
          <w:tcPr>
            <w:tcW w:w="1859" w:type="dxa"/>
            <w:gridSpan w:val="2"/>
          </w:tcPr>
          <w:p w14:paraId="37731A75"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CPAC@Fe</w:t>
            </w:r>
            <w:r w:rsidRPr="00B46270">
              <w:rPr>
                <w:rFonts w:asciiTheme="majorBidi" w:hAnsiTheme="majorBidi" w:cstheme="majorBidi"/>
                <w:b/>
                <w:bCs/>
                <w:color w:val="000000"/>
                <w:sz w:val="24"/>
                <w:szCs w:val="24"/>
                <w:vertAlign w:val="subscript"/>
              </w:rPr>
              <w:t>3</w:t>
            </w:r>
            <w:r w:rsidRPr="00B46270">
              <w:rPr>
                <w:rFonts w:asciiTheme="majorBidi" w:hAnsiTheme="majorBidi" w:cstheme="majorBidi"/>
                <w:b/>
                <w:bCs/>
                <w:color w:val="000000"/>
                <w:sz w:val="24"/>
                <w:szCs w:val="24"/>
              </w:rPr>
              <w:t>O</w:t>
            </w:r>
            <w:r w:rsidRPr="00B46270">
              <w:rPr>
                <w:rFonts w:asciiTheme="majorBidi" w:hAnsiTheme="majorBidi" w:cstheme="majorBidi"/>
                <w:b/>
                <w:bCs/>
                <w:color w:val="000000"/>
                <w:sz w:val="24"/>
                <w:szCs w:val="24"/>
                <w:vertAlign w:val="subscript"/>
              </w:rPr>
              <w:t>4</w:t>
            </w:r>
          </w:p>
        </w:tc>
        <w:tc>
          <w:tcPr>
            <w:tcW w:w="2810" w:type="dxa"/>
          </w:tcPr>
          <w:p w14:paraId="55CABB64"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 xml:space="preserve">pH 2, 0.2 g/L, 30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 1.5 h</w:t>
            </w:r>
          </w:p>
        </w:tc>
        <w:tc>
          <w:tcPr>
            <w:tcW w:w="1910" w:type="dxa"/>
          </w:tcPr>
          <w:p w14:paraId="5D83D0B4"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24EA8061" w14:textId="77777777" w:rsidR="00813493" w:rsidRPr="00B46270" w:rsidRDefault="00813493" w:rsidP="00885737">
            <w:pPr>
              <w:jc w:val="center"/>
              <w:rPr>
                <w:rFonts w:asciiTheme="majorBidi" w:hAnsiTheme="majorBidi" w:cstheme="majorBidi"/>
                <w:sz w:val="24"/>
                <w:szCs w:val="24"/>
              </w:rPr>
            </w:pPr>
            <w:r w:rsidRPr="00B46270">
              <w:rPr>
                <w:rFonts w:asciiTheme="majorBidi" w:hAnsiTheme="majorBidi" w:cstheme="majorBidi"/>
                <w:sz w:val="24"/>
                <w:szCs w:val="24"/>
                <w:lang w:val="en-GB"/>
              </w:rPr>
              <w:t>160.71 mg/g</w:t>
            </w:r>
          </w:p>
        </w:tc>
        <w:tc>
          <w:tcPr>
            <w:tcW w:w="2023" w:type="dxa"/>
          </w:tcPr>
          <w:p w14:paraId="534BCDCC"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rPr>
              <w:fldChar w:fldCharType="begin" w:fldLock="1"/>
            </w:r>
            <w:r w:rsidRPr="00B46270">
              <w:rPr>
                <w:rFonts w:asciiTheme="majorBidi" w:hAnsiTheme="majorBidi" w:cstheme="majorBidi"/>
                <w:color w:val="4472C4" w:themeColor="accent1"/>
                <w:sz w:val="24"/>
                <w:szCs w:val="24"/>
              </w:rPr>
              <w:instrText>ADDIN CSL_CITATION {"citationItems":[{"id":"ITEM-1","itemData":{"DOI":"10.1016/j.chemosphere.2024.142513","ISSN":"18791298","PMID":"38830462","abstract":"This study focused on evaluating the efficacy of a magnetic activated carbon material (CPAC@Fe3O4) derived from pods of copper pod tree in adsorbing the toxic herbicide, 2,4- (2,4-D) from aqueous solutions. The synthesized CPAC@Fe3O4 adsorbent, underwent various characterization techniques. FESEM images indicated a rough surface, incorporating iron oxide nanoparticles, while EDS analysis confirmed the presence of elements like Fe, O, and C. Notably, the CPAC@Fe3O4 exhibited high surface area (749.10 m2/g) and pore volume (0.5351 cm³/g), confirming its mesoporous nature. XRD investigations identified distinct signals associated with graphitic carbon and magnetite nanoparticles, while VSM analysis verified its magnetic properties with a high magnetic saturation value (2.72 emu/g). The adsorption process was exothermic, with a decrease in adsorption capacity at higher temperatures. Freundlich isotherm provided the best fit for the adsorption, and the pseudo-second-order equation effectively described the kinetics. Remarkably, the maximum adsorption capacity ranged from 246.43 to 261.03 mg/g, surpassing previously reported values. The ΔH° value (−8.67 kJ/mol) suggested a physisorption mechanism, and the negative ΔG° values established the spontaneous nature. Furthermore, the synthesized adsorbent demonstrated exceptional reusability, allowing for up to five cycles of adsorption-desorption operations. When applied to simulated agricultural runoff, CPAC@Fe3O4 showcased a significant adsorption capacity of 160.71 mg/g for 50 mg/L 2,4-D, using a 0.2 g/L dosage at pH 2. This study showcased the transformation of copper pod biomass into a valuable magnetic nanoadsorbent capable of efficiently eliminating the noxious 2,4-D pollutant from aqueous environments.","author":[{"dropping-particle":"","family":"Samanth","given":"Adithya","non-dropping-particle":"","parse-names":false,"suffix":""},{"dropping-particle":"","family":"Selvaraj","given":"Raja","non-dropping-particle":"","parse-names":false,"suffix":""},{"dropping-particle":"","family":"Murugesan","given":"Gokulakrishnan","non-dropping-particle":"","parse-names":false,"suffix":""},{"dropping-particle":"","family":"Varadavenkatesan","given":"Thivaharan","non-dropping-particle":"","parse-names":false,"suffix":""},{"dropping-particle":"","family":"Vinayagam","given":"Ramesh","non-dropping-particle":"","parse-names":false,"suffix":""}],"container-title":"Chemosphere","id":"ITEM-1","issue":"May","issued":{"date-parts":[["2024"]]},"page":"142513","publisher":"Elsevier Ltd","title":"Efficient adsorptive removal of 2,4-dichlorophenoxyacetic acid (2,4-D) using biomass derived magnetic activated carbon nanocomposite in synthetic and simulated agricultural runoff water","type":"article-journal","volume":"361"},"uris":["http://www.mendeley.com/documents/?uuid=50d8cec1-b1e9-4c47-a289-949168c23442"]}],"mendeley":{"formattedCitation":"&lt;sup&gt;3&lt;/sup&gt;","plainTextFormattedCitation":"3","previouslyFormattedCitation":"&lt;sup&gt;3&lt;/sup&gt;"},"properties":{"noteIndex":0},"schema":"https://github.com/citation-style-language/schema/raw/master/csl-citation.json"}</w:instrText>
            </w:r>
            <w:r w:rsidRPr="00B46270">
              <w:rPr>
                <w:rFonts w:asciiTheme="majorBidi" w:hAnsiTheme="majorBidi" w:cstheme="majorBidi"/>
                <w:color w:val="4472C4" w:themeColor="accent1"/>
                <w:sz w:val="24"/>
                <w:szCs w:val="24"/>
              </w:rPr>
              <w:fldChar w:fldCharType="separate"/>
            </w:r>
            <w:r w:rsidRPr="00B46270">
              <w:rPr>
                <w:rFonts w:asciiTheme="majorBidi" w:hAnsiTheme="majorBidi" w:cstheme="majorBidi"/>
                <w:noProof/>
                <w:color w:val="4472C4" w:themeColor="accent1"/>
                <w:sz w:val="24"/>
                <w:szCs w:val="24"/>
                <w:vertAlign w:val="superscript"/>
              </w:rPr>
              <w:t>3</w:t>
            </w:r>
            <w:r w:rsidRPr="00B46270">
              <w:rPr>
                <w:rFonts w:asciiTheme="majorBidi" w:hAnsiTheme="majorBidi" w:cstheme="majorBidi"/>
                <w:color w:val="4472C4" w:themeColor="accent1"/>
                <w:sz w:val="24"/>
                <w:szCs w:val="24"/>
              </w:rPr>
              <w:fldChar w:fldCharType="end"/>
            </w:r>
          </w:p>
        </w:tc>
      </w:tr>
      <w:tr w:rsidR="00813493" w:rsidRPr="00B46270" w14:paraId="12D923E3" w14:textId="77777777" w:rsidTr="00885737">
        <w:trPr>
          <w:trHeight w:val="269"/>
        </w:trPr>
        <w:tc>
          <w:tcPr>
            <w:tcW w:w="1859" w:type="dxa"/>
            <w:gridSpan w:val="2"/>
          </w:tcPr>
          <w:p w14:paraId="3CDE22A1"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UiO-66-NH</w:t>
            </w:r>
            <w:r w:rsidRPr="00B46270">
              <w:rPr>
                <w:rFonts w:asciiTheme="majorBidi" w:hAnsiTheme="majorBidi" w:cstheme="majorBidi"/>
                <w:b/>
                <w:bCs/>
                <w:color w:val="000000"/>
                <w:sz w:val="24"/>
                <w:szCs w:val="24"/>
                <w:vertAlign w:val="subscript"/>
              </w:rPr>
              <w:t>2</w:t>
            </w:r>
          </w:p>
        </w:tc>
        <w:tc>
          <w:tcPr>
            <w:tcW w:w="2810" w:type="dxa"/>
          </w:tcPr>
          <w:p w14:paraId="30E35168"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 xml:space="preserve">pH 3, 0.2 g/L, 25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 12 h</w:t>
            </w:r>
          </w:p>
        </w:tc>
        <w:tc>
          <w:tcPr>
            <w:tcW w:w="1910" w:type="dxa"/>
          </w:tcPr>
          <w:p w14:paraId="1BB6D13C"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4F85A517"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72.99 mg/g</w:t>
            </w:r>
          </w:p>
        </w:tc>
        <w:tc>
          <w:tcPr>
            <w:tcW w:w="2023" w:type="dxa"/>
          </w:tcPr>
          <w:p w14:paraId="551B4955"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{"citationItems":[{"id":"ITEM-1","itemData":{"DOI":"10.1016/j.ecoenv.2020.110440","ISSN":"10902414","PMID":"32169729","abstract":"MOFs are usually used as efficient adsorbents to remove specific pollutants in water. However, because of their poor water stability relatively small particle size, their application in adsorbing and removing pollutants from water is limited. In this paper, with nitrile rubber sponge as the substrate, UiO-66-NH2/sponge composites were firstly in-situ synthesized and systematically evaluated UiO-66-NH2 as an adsorbent to remove 2,4-dichlorophenoxyacetic acid from water. This composite could not only remain the adsorption capacity for 2,4-dichlorophenoxyacetic acid of UiO-66-NH2, but also was much more convenient for separation after the adsorption compared to UiO-66-NH2. In addition, the mechanism of the adsorption of UiO-66-NH2 for 2,4-dichlorophenoxyacetic acid were discussed in detail. Electrostatic interaction between UiO-66-NH2 and 2,4-dichlorophenoxyacetic acid was the main adsorption mechanism. The adsorption was mainly suitable for Langmuir isotherm models, and its maximum adsorption capacity of 2,4-dichlorophenoxyacetic acid was 72.99 mg g−1.","author":[{"dropping-particle":"","family":"Li","given":"Sumei","non-dropping-particle":"","parse-names":false,"suffix":""},{"dropping-particle":"","family":"Feng","given":"Fan","non-dropping-particle":"","parse-names":false,"suffix":""},{"dropping-particle":"","family":"Chen","given":"Sha","non-dropping-particle":"","parse-names":false,"suffix":""},{"dropping-particle":"","family":"Zhang","given":"Xiaolei","non-dropping-particle":"","parse-names":false,"suffix":""},{"dropping-particle":"","family":"Liang","given":"Yixuan","non-dropping-particle":"","parse-names":false,"suffix":""},{"dropping-particle":"","family":"Shan","given":"Saisai","non-dropping-particle":"","parse-names":false,"suffix":""}],"container-title":"Ecotoxicology and Environmental Safety","id":"ITEM-1","issue":"December 2019","issued":{"date-parts":[["2020"]]},"page":"110440","publisher":"Elsevier Inc.","title":"Preparation of UiO-66-NH2 and UiO-66-NH2/sponge for adsorption of 2,4-dichlorophenoxyacetic acid in water","type":"article-journal","volume":"194"},"uris":["http://www.mendeley.com/documents/?uuid=31f47b94-866e-401f-970c-11fd4e7a2544"]}],"mendeley":{"formattedCitation":"&lt;sup&gt;5&lt;/sup&gt;","plainTextFormattedCitation":"5","previouslyFormattedCitation":"&lt;sup&gt;5&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5</w:t>
            </w:r>
            <w:r w:rsidRPr="00B46270">
              <w:rPr>
                <w:rFonts w:asciiTheme="majorBidi" w:hAnsiTheme="majorBidi" w:cstheme="majorBidi"/>
                <w:color w:val="4472C4" w:themeColor="accent1"/>
                <w:sz w:val="24"/>
                <w:szCs w:val="24"/>
                <w:lang w:val="en-GB"/>
              </w:rPr>
              <w:fldChar w:fldCharType="end"/>
            </w:r>
          </w:p>
        </w:tc>
      </w:tr>
      <w:tr w:rsidR="00813493" w:rsidRPr="00B46270" w14:paraId="57FA0E0D" w14:textId="77777777" w:rsidTr="00885737">
        <w:trPr>
          <w:trHeight w:val="269"/>
        </w:trPr>
        <w:tc>
          <w:tcPr>
            <w:tcW w:w="1859" w:type="dxa"/>
            <w:gridSpan w:val="2"/>
          </w:tcPr>
          <w:p w14:paraId="2F42856C"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sz w:val="24"/>
                <w:szCs w:val="24"/>
                <w:lang w:val="en-GB"/>
              </w:rPr>
              <w:t>Fe</w:t>
            </w:r>
            <w:r w:rsidRPr="00B46270">
              <w:rPr>
                <w:rFonts w:asciiTheme="majorBidi" w:hAnsiTheme="majorBidi" w:cstheme="majorBidi"/>
                <w:b/>
                <w:bCs/>
                <w:sz w:val="24"/>
                <w:szCs w:val="24"/>
                <w:vertAlign w:val="subscript"/>
                <w:lang w:val="en-GB"/>
              </w:rPr>
              <w:t>3</w:t>
            </w:r>
            <w:r w:rsidRPr="00B46270">
              <w:rPr>
                <w:rFonts w:asciiTheme="majorBidi" w:hAnsiTheme="majorBidi" w:cstheme="majorBidi"/>
                <w:b/>
                <w:bCs/>
                <w:sz w:val="24"/>
                <w:szCs w:val="24"/>
                <w:lang w:val="en-GB"/>
              </w:rPr>
              <w:t>O</w:t>
            </w:r>
            <w:r w:rsidRPr="00B46270">
              <w:rPr>
                <w:rFonts w:asciiTheme="majorBidi" w:hAnsiTheme="majorBidi" w:cstheme="majorBidi"/>
                <w:b/>
                <w:bCs/>
                <w:sz w:val="24"/>
                <w:szCs w:val="24"/>
                <w:vertAlign w:val="subscript"/>
                <w:lang w:val="en-GB"/>
              </w:rPr>
              <w:t>4</w:t>
            </w:r>
            <w:r w:rsidRPr="00B46270">
              <w:rPr>
                <w:rFonts w:asciiTheme="majorBidi" w:hAnsiTheme="majorBidi" w:cstheme="majorBidi"/>
                <w:b/>
                <w:bCs/>
                <w:sz w:val="24"/>
                <w:szCs w:val="24"/>
                <w:lang w:val="en-GB"/>
              </w:rPr>
              <w:t>/algal</w:t>
            </w:r>
          </w:p>
        </w:tc>
        <w:tc>
          <w:tcPr>
            <w:tcW w:w="2810" w:type="dxa"/>
          </w:tcPr>
          <w:p w14:paraId="26053E6D"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 2, 1.0 g/L, 30</w:t>
            </w:r>
            <w:r w:rsidRPr="00B46270">
              <w:rPr>
                <w:rFonts w:asciiTheme="majorBidi" w:hAnsiTheme="majorBidi" w:cstheme="majorBidi"/>
                <w:sz w:val="24"/>
                <w:szCs w:val="24"/>
                <w:vertAlign w:val="superscript"/>
                <w:lang w:val="en-GB"/>
              </w:rPr>
              <w:t xml:space="preserve">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w:t>
            </w:r>
            <w:r w:rsidRPr="00B46270">
              <w:rPr>
                <w:rFonts w:asciiTheme="majorBidi" w:hAnsiTheme="majorBidi" w:cstheme="majorBidi" w:hint="cs"/>
                <w:sz w:val="24"/>
                <w:szCs w:val="24"/>
                <w:rtl/>
                <w:lang w:val="en-GB"/>
              </w:rPr>
              <w:t xml:space="preserve"> </w:t>
            </w:r>
            <w:r w:rsidRPr="00B46270">
              <w:rPr>
                <w:rFonts w:asciiTheme="majorBidi" w:hAnsiTheme="majorBidi" w:cstheme="majorBidi"/>
                <w:sz w:val="24"/>
                <w:szCs w:val="24"/>
                <w:lang w:val="en-GB"/>
              </w:rPr>
              <w:t>1.5 h</w:t>
            </w:r>
          </w:p>
        </w:tc>
        <w:tc>
          <w:tcPr>
            <w:tcW w:w="1910" w:type="dxa"/>
          </w:tcPr>
          <w:p w14:paraId="3238AC4C"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4336AB23"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21.34</w:t>
            </w:r>
            <w:r w:rsidRPr="00B46270">
              <w:rPr>
                <w:rFonts w:asciiTheme="majorBidi" w:hAnsiTheme="majorBidi" w:cstheme="majorBidi" w:hint="cs"/>
                <w:sz w:val="24"/>
                <w:szCs w:val="24"/>
                <w:rtl/>
                <w:lang w:val="en-GB"/>
              </w:rPr>
              <w:t xml:space="preserve"> </w:t>
            </w:r>
            <w:r w:rsidRPr="00B46270">
              <w:rPr>
                <w:rFonts w:asciiTheme="majorBidi" w:hAnsiTheme="majorBidi" w:cstheme="majorBidi"/>
                <w:sz w:val="24"/>
                <w:szCs w:val="24"/>
              </w:rPr>
              <w:t>mg/g</w:t>
            </w:r>
          </w:p>
        </w:tc>
        <w:tc>
          <w:tcPr>
            <w:tcW w:w="2023" w:type="dxa"/>
          </w:tcPr>
          <w:p w14:paraId="23503B27"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{"citationItems":[{"id":"ITEM-1","itemData":{"DOI":"https://doi.org/10.1016/j.scp.2024.101577","ISSN":"2352-5541","abstract":"In the present study, graphene, Na-alginate and Fe3O4 composites with algal biomass were prepared and employed for the removal of 2,4-D (2, 4-dichlorophenoxyacetic acid) in batch and column modes. The de-oiled algal biomass (Chlorella) was pre-treated and used for biocomposite preparation. FTIR and SEM techniques were employed to analyze the functional groups and surface morphology of the biocomposites. In batch mode, the adsorption parameters were optimized and at 2 pH, 0.05 g biosorbent dosage, 303 K, 90 min contact time and 50 mg/L pesticide concentrations were the optimum levels. The H2SO4 pre-treated biomass, graphene/algal, Fe3O4/algal and Na-alginate/algal biocomposite showed biosorption capacities of 19.73, 20.43, 21.34 and 19.2 (mg/g), respectively for 2,4-D removal. The 2,4-D adsorption data followed Freundlich isotherm and pseudo-second-order kinetics models. The flow rate, bed height and initial concentration of pesticide were optimized in column mode, and 8.55 mg/g 2,4-D was removed at bed height 2 cm and 50 mg/L initial pesticide concentration. A desorption study was also performed for the recycling of the biocomposites. Results revealed that the graphene, Na-alginate and Fe3O4 composites with algal biomass are highly effective for the adsorption of 2,4-D and could be employed for the remediation of 2,4-D from the effluents.","author":[{"dropping-particle":"","family":"Mustafa","given":"Shazia","non-dropping-particle":"","parse-names":false,"suffix":""},{"dropping-particle":"","family":"Bhatti","given":"Haq Nawaz","non-dropping-particle":"","parse-names":false,"suffix":""},{"dropping-particle":"","family":"Maqbool","given":"Munazza","non-dropping-particle":"","parse-names":false,"suffix":""},{"dropping-particle":"","family":"Khan","given":"Amina","non-dropping-particle":"","parse-names":false,"suffix":""},{"dropping-particle":"","family":"Alraih","given":"Alhafez M","non-dropping-particle":"","parse-names":false,"suffix":""},{"dropping-particle":"","family":"Iqbal","given":"Munawar","non-dropping-particle":"","parse-names":false,"suffix":""}],"container-title":"Sustainable Chemistry and Pharmacy","id":"ITEM-1","issued":{"date-parts":[["2024"]]},"page":"101577","title":"Renewable functional composites of algal biomass with graphene oxide and Na-alginate for the adsorptive removal of 2,4-D herbicide","type":"article-journal","volume":"39"},"uris":["http://www.mendeley.com/documents/?uuid=3b125540-9990-4843-ab38-9220ee1971f3"]}],"mendeley":{"formattedCitation":"&lt;sup&gt;6&lt;/sup&gt;","plainTextFormattedCitation":"6","previouslyFormattedCitation":"&lt;sup&gt;6&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6</w:t>
            </w:r>
            <w:r w:rsidRPr="00B46270">
              <w:rPr>
                <w:rFonts w:asciiTheme="majorBidi" w:hAnsiTheme="majorBidi" w:cstheme="majorBidi"/>
                <w:color w:val="4472C4" w:themeColor="accent1"/>
                <w:sz w:val="24"/>
                <w:szCs w:val="24"/>
                <w:lang w:val="en-GB"/>
              </w:rPr>
              <w:fldChar w:fldCharType="end"/>
            </w:r>
          </w:p>
        </w:tc>
      </w:tr>
      <w:tr w:rsidR="00813493" w:rsidRPr="00B46270" w14:paraId="189A115E" w14:textId="77777777" w:rsidTr="00885737">
        <w:trPr>
          <w:trHeight w:val="279"/>
        </w:trPr>
        <w:tc>
          <w:tcPr>
            <w:tcW w:w="1859" w:type="dxa"/>
            <w:gridSpan w:val="2"/>
          </w:tcPr>
          <w:p w14:paraId="2EF9DC1F"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MIPs</w:t>
            </w:r>
          </w:p>
        </w:tc>
        <w:tc>
          <w:tcPr>
            <w:tcW w:w="2810" w:type="dxa"/>
          </w:tcPr>
          <w:p w14:paraId="427E4B1B"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 xml:space="preserve">25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w:t>
            </w:r>
            <w:r w:rsidRPr="00B46270">
              <w:rPr>
                <w:rFonts w:asciiTheme="majorBidi" w:hAnsiTheme="majorBidi" w:cstheme="majorBidi" w:hint="cs"/>
                <w:sz w:val="24"/>
                <w:szCs w:val="24"/>
                <w:rtl/>
                <w:lang w:val="en-GB"/>
              </w:rPr>
              <w:t xml:space="preserve"> </w:t>
            </w:r>
            <w:r w:rsidRPr="00B46270">
              <w:rPr>
                <w:rFonts w:asciiTheme="majorBidi" w:hAnsiTheme="majorBidi" w:cstheme="majorBidi"/>
                <w:sz w:val="24"/>
                <w:szCs w:val="24"/>
                <w:lang w:val="en-GB"/>
              </w:rPr>
              <w:t>≈ 5 h</w:t>
            </w:r>
          </w:p>
        </w:tc>
        <w:tc>
          <w:tcPr>
            <w:tcW w:w="1910" w:type="dxa"/>
          </w:tcPr>
          <w:p w14:paraId="02142D58"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5B1C36F9"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123.44 mg/g</w:t>
            </w:r>
          </w:p>
        </w:tc>
        <w:tc>
          <w:tcPr>
            <w:tcW w:w="2023" w:type="dxa"/>
          </w:tcPr>
          <w:p w14:paraId="6475DC87"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{"citationItems":[{"id":"ITEM-1","itemData":{"DOI":"10.1016/j.jece.2022.107472","ISSN":"22133437","abstract":"The removal of herbicides remains challenging because of the complex synthesis process and poor performance of the adsorbent. Herein, we proposed a facile hydrothermal method for the synthesis of Fe–Zr-based metal-organic frameworks (FZM), which featured porous structure and high surface area of 1003 m3 g−1 with abundant functional groups and unique surface charge. The maximum adsorption capacity of FZM toward 2,4-D was 357.14 mg g−1 after nonlinear adsorption isotherm models were fitted. The adsorption isotherms and kinetics of 2,4-D on the FZM conforms to Langmuir isothermal model and pseudo-second-order kinetic model respectively the adsorption mechanism was discussed based on the characterization, FT-IR and XPS analysis showed that the adsorption mechanism was mainly attributed to the hydrogen bonds between molecules, π-π conjugates and electrostatic attraction. Furthermore, the reuse performance and regeneration method of FZM were optimized through experiments. FZM could maintain 77% efficiency even after multiple cycles, and was less affected by the complex matrix. These results provide new insights into the adsorption of pesticides in water by novel MOF.","author":[{"dropping-particle":"","family":"Liu","given":"Bingyang","non-dropping-particle":"","parse-names":false,"suffix":""},{"dropping-particle":"","family":"Guo","given":"Niandong","non-dropping-particle":"","parse-names":false,"suffix":""},{"dropping-particle":"","family":"Wang","given":"Zhen","non-dropping-particle":"","parse-names":false,"suffix":""},{"dropping-particle":"","family":"Wang","given":"Yu","non-dropping-particle":"","parse-names":false,"suffix":""},{"dropping-particle":"","family":"Hao","given":"Xue","non-dropping-particle":"","parse-names":false,"suffix":""},{"dropping-particle":"","family":"Yang","given":"Zhilin","non-dropping-particle":"","parse-names":false,"suffix":""},{"dropping-particle":"","family":"Yang","given":"Qi","non-dropping-particle":"","parse-names":false,"suffix":""}],"container-title":"Journal of Environmental Chemical Engineering","id":"ITEM-1","issue":"3","issued":{"date-parts":[["2022"]]},"page":"107472","publisher":"Elsevier Ltd","title":"Adsorption of 2,4-dichlorophenoxyacetic acid over Fe–Zr-based metal-organic frameworks: Synthesis, characterization, kinetics, and mechanism studies","type":"article-journal","volume":"10"},"uris":["http://www.mendeley.com/documents/?uuid=092b8127-04c0-4c56-8d23-d47485fd6145"]}],"mendeley":{"formattedCitation":"&lt;sup&gt;7&lt;/sup&gt;","plainTextFormattedCitation":"7","previouslyFormattedCitation":"&lt;sup&gt;7&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7</w:t>
            </w:r>
            <w:r w:rsidRPr="00B46270">
              <w:rPr>
                <w:rFonts w:asciiTheme="majorBidi" w:hAnsiTheme="majorBidi" w:cstheme="majorBidi"/>
                <w:color w:val="4472C4" w:themeColor="accent1"/>
                <w:sz w:val="24"/>
                <w:szCs w:val="24"/>
                <w:lang w:val="en-GB"/>
              </w:rPr>
              <w:fldChar w:fldCharType="end"/>
            </w:r>
          </w:p>
        </w:tc>
      </w:tr>
      <w:tr w:rsidR="00813493" w:rsidRPr="00B46270" w14:paraId="06D3E04D" w14:textId="77777777" w:rsidTr="00885737">
        <w:trPr>
          <w:trHeight w:val="279"/>
        </w:trPr>
        <w:tc>
          <w:tcPr>
            <w:tcW w:w="1859" w:type="dxa"/>
            <w:gridSpan w:val="2"/>
          </w:tcPr>
          <w:p w14:paraId="69991352"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VI-BC</w:t>
            </w:r>
          </w:p>
        </w:tc>
        <w:tc>
          <w:tcPr>
            <w:tcW w:w="2810" w:type="dxa"/>
          </w:tcPr>
          <w:p w14:paraId="30871844"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 xml:space="preserve">pH 2, 0.3 g/L, 30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 2 h</w:t>
            </w:r>
          </w:p>
        </w:tc>
        <w:tc>
          <w:tcPr>
            <w:tcW w:w="1910" w:type="dxa"/>
          </w:tcPr>
          <w:p w14:paraId="49BABC9F"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1BE30A63"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131.39 mg/g</w:t>
            </w:r>
          </w:p>
        </w:tc>
        <w:tc>
          <w:tcPr>
            <w:tcW w:w="2023" w:type="dxa"/>
          </w:tcPr>
          <w:p w14:paraId="70123DA5"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{"citationItems":[{"id":"ITEM-1","itemData":{"DOI":"10.1016/j.chemosphere.2024.141130","ISSN":"18791298","PMID":"38185425","abstract":"The adsorption properties of 2,4-Dichlorophenoxyacetic acid (2,4-D) onto biochar, obtained through HCl-assisted hydrothermal carbonization process of Vateria indica fruits (VI-BC), were extensively studied using traditional and statistical physics approaches. The traditional adsorption investigations encompassed kinetics, equilibrium, and thermodynamics studies. Subsequently, the Hill statistical physics model was employed to interpret the mechanism. Also, artificial neural network (ANN) and adaptive neuro-fuzzy inference system (ANFIS) machine learning tools were successfully employed to model the adsorption data wherein both models had high prediction potential (R2 &gt; 0.99). The outcomes demonstrated that the produced VI-BC exhibited remarkable adsorptive traits, having a considerable specific surface area (111.54 m2/g), pore size (5.89 nm), a variety of functional groups, and appropriate attributes for efficiently adsorbing 2,4-D. For 10 mg/L 2,4-D, at pH 2.0 and with 0.3 g/L dose, an impressive 91.67% adsorption efficiency was achieved within a 120-min. Pseudo-second-order model aptly depicted the kinetic behavior of 2,4-D adsorption, while the Freundlich model provided a more accurate representation of the isotherms. 2,4-D maximum adsorption capacity stood at 131.39 mg/g at 303 K. The Hill statistical physics model elucidated that the adsorption primarily occurred via physisorption mechanisms, involving electrostatic attractions, π-π conjugation, and pore filling. This conclusion was further substantiated by post-adsorption characterization of the VI-BC. Thermodynamic analysis indicated that the interactions between VI-BC and 2,4-D were favorable, spontaneous, and exothermic. The calculated low energy of adsorption (1.255 kJ/mol) and ΔH° value (−20.49 kJ/mol) further supported physisorption as the dominant mechanism. In summary, this study underscores the significant potential of the newly developed biochar as a promising alternative material for efficiently removing the 2,4-D herbicide from polluted environments.","author":[{"dropping-particle":"","family":"Vinayagam","given":"Ramesh","non-dropping-particle":"","parse-names":false,"suffix":""},{"dropping-particle":"","family":"Nagendran","given":"Vasundra","non-dropping-particle":"","parse-names":false,"suffix":""},{"dropping-particle":"","family":"Goveas","given":"Louella Concepta","non-dropping-particle":"","parse-names":false,"suffix":""},{"dropping-particle":"","family":"Narasimhan","given":"Manoj Kumar","non-dropping-particle":"","parse-names":false,"suffix":""},{"dropping-particle":"","family":"Varadavenkatesan","given":"Thivaharan","non-dropping-particle":"","parse-names":false,"suffix":""},{"dropping-particle":"","family":"Samanth","given":"Adithya","non-dropping-particle":"","parse-names":false,"suffix":""},{"dropping-particle":"","family":"Selvaraj","given":"Raja","non-dropping-particle":"","parse-names":false,"suffix":""}],"container-title":"Chemosphere","id":"ITEM-1","issue":"November 2023","issued":{"date-parts":[["2024"]]},"page":"141130","publisher":"Elsevier Ltd","title":"Machine learning, conventional and statistical physics modeling of 2,4-Dichlorophenoxyacetic acid (2,4-D) herbicide removal using biochar prepared from Vateria indica fruit biomass","type":"article-journal","volume":"350"},"uris":["http://www.mendeley.com/documents/?uuid=eb0d6fe1-976e-46ea-8c71-1819020af1cc"]}],"mendeley":{"formattedCitation":"&lt;sup&gt;54&lt;/sup&gt;","plainTextFormattedCitation":"54","previouslyFormattedCitation":"&lt;sup&gt;54&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54</w:t>
            </w:r>
            <w:r w:rsidRPr="00B46270">
              <w:rPr>
                <w:rFonts w:asciiTheme="majorBidi" w:hAnsiTheme="majorBidi" w:cstheme="majorBidi"/>
                <w:color w:val="4472C4" w:themeColor="accent1"/>
                <w:sz w:val="24"/>
                <w:szCs w:val="24"/>
                <w:lang w:val="en-GB"/>
              </w:rPr>
              <w:fldChar w:fldCharType="end"/>
            </w:r>
          </w:p>
        </w:tc>
      </w:tr>
      <w:tr w:rsidR="00813493" w:rsidRPr="00B46270" w14:paraId="6EE36DC9" w14:textId="77777777" w:rsidTr="00885737">
        <w:trPr>
          <w:trHeight w:val="279"/>
        </w:trPr>
        <w:tc>
          <w:tcPr>
            <w:tcW w:w="1859" w:type="dxa"/>
            <w:gridSpan w:val="2"/>
          </w:tcPr>
          <w:p w14:paraId="0950991B"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proofErr w:type="spellStart"/>
            <w:r w:rsidRPr="00B46270">
              <w:rPr>
                <w:rFonts w:asciiTheme="majorBidi" w:hAnsiTheme="majorBidi" w:cstheme="majorBidi"/>
                <w:b/>
                <w:bCs/>
                <w:sz w:val="24"/>
                <w:szCs w:val="24"/>
                <w:lang w:val="en-GB"/>
              </w:rPr>
              <w:t>Biomixture</w:t>
            </w:r>
            <w:proofErr w:type="spellEnd"/>
          </w:p>
        </w:tc>
        <w:tc>
          <w:tcPr>
            <w:tcW w:w="2810" w:type="dxa"/>
          </w:tcPr>
          <w:p w14:paraId="740E5DF2"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w:t>
            </w:r>
            <w:r w:rsidRPr="00B46270">
              <w:rPr>
                <w:rFonts w:asciiTheme="majorBidi" w:hAnsiTheme="majorBidi" w:cstheme="majorBidi" w:hint="cs"/>
                <w:sz w:val="24"/>
                <w:szCs w:val="24"/>
                <w:rtl/>
                <w:lang w:val="en-GB"/>
              </w:rPr>
              <w:t xml:space="preserve"> </w:t>
            </w:r>
            <w:r w:rsidRPr="00B46270">
              <w:rPr>
                <w:rFonts w:asciiTheme="majorBidi" w:hAnsiTheme="majorBidi" w:cstheme="majorBidi"/>
                <w:sz w:val="24"/>
                <w:szCs w:val="24"/>
                <w:lang w:val="en-GB"/>
              </w:rPr>
              <w:t>≈ 6</w:t>
            </w:r>
          </w:p>
        </w:tc>
        <w:tc>
          <w:tcPr>
            <w:tcW w:w="1910" w:type="dxa"/>
          </w:tcPr>
          <w:p w14:paraId="66371582"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6A40FB29"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155.7 mg/g</w:t>
            </w:r>
          </w:p>
        </w:tc>
        <w:tc>
          <w:tcPr>
            <w:tcW w:w="2023" w:type="dxa"/>
          </w:tcPr>
          <w:p w14:paraId="59F0330D"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{"citationItems":[{"id":"ITEM-1","itemData":{"DOI":"10.1016/j.jece.2021.106877","ISSN":"22133437","abstract":"The remediation of point-source contamination of herbicides in productive fields can be addressed with biopurification systems which require biomixtures of natural materials with effectiveness for the adsorption and degradation of such compounds. A biomixture of wheat stubble and soil was tested for the adsorption and degradation of the herbicide 2,4-dichlorophenoxyacetic acid (2,4-D) and one of its main metabolites, 2,4-dichlorophenol (2,4-DCP). Single-contaminant kinetic studies were performed, being the pseudo-second order kinetic model the most suitable to describe the adsorption of both compounds. Although the adsorption of 2,4-D was faster, the adsorption of 2,4-DCP was three times higher. Single and competitive adsorption isotherms were also obtained. The later were acquired from a complete factorial experimental design varying the concentration of both solutes. Mathematical models were applied to describe the single solute isotherms, given a maximum monolayer adsorption capacity of 155.7 mg kg−1 for 2,4-D and 371.6 mg kg−1 for 2,4-DCP. Multicomponent models for bi-solute isotherms showed a clear reduction of 2,4-D adsorption in the presence of 2,4-DCP, although no adsorption displacement for the 2,4 DCP metabolite was observed. A stagnant degradation study was run and the contaminants were surveyed during 30 days. The biomixture was successful in degrading the 2,4-D, with a removal effectiveness &gt; 96% after 15 days. The 2,4-DCP was not detected, suggesting a very fast degradation as soon as generated.","author":[{"dropping-particle":"","family":"Fernandez","given":"Maria Emilia","non-dropping-particle":"","parse-names":false,"suffix":""},{"dropping-particle":"","family":"Morel","given":"María del Rosario","non-dropping-particle":"","parse-names":false,"suffix":""},{"dropping-particle":"","family":"Clebot","given":"Aldana Carolina","non-dropping-particle":"","parse-names":false,"suffix":""},{"dropping-particle":"","family":"Zalazar","given":"Cristina Susana","non-dropping-particle":"","parse-names":false,"suffix":""},{"dropping-particle":"","family":"Ballari","given":"María de los Milagros","non-dropping-particle":"","parse-names":false,"suffix":""}],"container-title":"Journal of Environmental Chemical Engineering","id":"ITEM-1","issue":"1","issued":{"date-parts":[["2022"]]},"page":"106877","publisher":"Elsevier Ltd","title":"Effectiveness of a simple biomixture for the adsorption and elimination of 2,4-dichlorophenoxyacetic acid (2,4-D) herbicide and its metabolite, 2,4-dichlorophenol (2,4-DCP), for a biobed system","type":"article-journal","volume":"10"},"uris":["http://www.mendeley.com/documents/?uuid=ba26c8d4-6261-40e8-90cd-65d5bbecefd9"]}],"mendeley":{"formattedCitation":"&lt;sup&gt;55&lt;/sup&gt;","plainTextFormattedCitation":"55","previouslyFormattedCitation":"&lt;sup&gt;55&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55</w:t>
            </w:r>
            <w:r w:rsidRPr="00B46270">
              <w:rPr>
                <w:rFonts w:asciiTheme="majorBidi" w:hAnsiTheme="majorBidi" w:cstheme="majorBidi"/>
                <w:color w:val="4472C4" w:themeColor="accent1"/>
                <w:sz w:val="24"/>
                <w:szCs w:val="24"/>
                <w:lang w:val="en-GB"/>
              </w:rPr>
              <w:fldChar w:fldCharType="end"/>
            </w:r>
          </w:p>
        </w:tc>
      </w:tr>
      <w:tr w:rsidR="00813493" w:rsidRPr="00B46270" w14:paraId="2419E75F" w14:textId="77777777" w:rsidTr="00885737">
        <w:trPr>
          <w:trHeight w:val="279"/>
        </w:trPr>
        <w:tc>
          <w:tcPr>
            <w:tcW w:w="1859" w:type="dxa"/>
            <w:gridSpan w:val="2"/>
          </w:tcPr>
          <w:p w14:paraId="25F79FB9"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GO-Fe</w:t>
            </w:r>
            <w:r w:rsidRPr="00B46270">
              <w:rPr>
                <w:rFonts w:asciiTheme="majorBidi" w:hAnsiTheme="majorBidi" w:cstheme="majorBidi"/>
                <w:b/>
                <w:bCs/>
                <w:color w:val="000000"/>
                <w:sz w:val="24"/>
                <w:szCs w:val="24"/>
                <w:vertAlign w:val="subscript"/>
              </w:rPr>
              <w:t>3</w:t>
            </w:r>
            <w:r w:rsidRPr="00B46270">
              <w:rPr>
                <w:rFonts w:asciiTheme="majorBidi" w:hAnsiTheme="majorBidi" w:cstheme="majorBidi"/>
                <w:b/>
                <w:bCs/>
                <w:color w:val="000000"/>
                <w:sz w:val="24"/>
                <w:szCs w:val="24"/>
              </w:rPr>
              <w:t>O</w:t>
            </w:r>
            <w:r w:rsidRPr="00B46270">
              <w:rPr>
                <w:rFonts w:asciiTheme="majorBidi" w:hAnsiTheme="majorBidi" w:cstheme="majorBidi"/>
                <w:b/>
                <w:bCs/>
                <w:color w:val="000000"/>
                <w:sz w:val="24"/>
                <w:szCs w:val="24"/>
                <w:vertAlign w:val="subscript"/>
              </w:rPr>
              <w:t>4</w:t>
            </w:r>
          </w:p>
        </w:tc>
        <w:tc>
          <w:tcPr>
            <w:tcW w:w="2810" w:type="dxa"/>
          </w:tcPr>
          <w:p w14:paraId="27B73EAC"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 3</w:t>
            </w:r>
          </w:p>
        </w:tc>
        <w:tc>
          <w:tcPr>
            <w:tcW w:w="1910" w:type="dxa"/>
          </w:tcPr>
          <w:p w14:paraId="3BEC0462"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6870EA68"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67.26 mg/g</w:t>
            </w:r>
          </w:p>
        </w:tc>
        <w:tc>
          <w:tcPr>
            <w:tcW w:w="2023" w:type="dxa"/>
          </w:tcPr>
          <w:p w14:paraId="4EDD8A92"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{"citationItems":[{"id":"ITEM-1","itemData":{"DOI":"10.1016/j.ecoenv.2017.01.001","ISSN":"10902414","PMID":"28086182","abstract":"Graphene oxide (GO) was prepared from commercially available graphite powder. Porous iron oxide ribbons were grown on the surface of GO by solvothermal process. The prepared GO-Fe3O4 nanocomposites are characterized by FT-IR, XRD, VSM, SEM, TEM, Raman spectroscopy, surface functionality and zero point charge studies. The morphology of the iron oxide ribbons grown on GO is demonstrated with TEM at various magnifications. The presence of magnetite nanoparticles is evident from XRD peaks and the magnetization value is found to be 37.28 emu/g. The ratio of intensity of D-peak to G-peak from Raman spectrum is 0.995. The synthesized Graphene oxide-Fe3O4 nanocomposites (GO-Fe3O4) were explored for its surface adsorptive properties by using a model organic compound, 2,4-Dichlorophenoxy acetic acid (2,4-D) from aqueous solution. Batch adsorption studies were performed and the equilibrium data are modelled with Langmuir, Freundlich and Temkin isotherms. The maximum monolayer capacity from Langmuir isotherm is 67.26 mg/g. Kinetic studies were also carried out and the studied adsorption process followed pseudo second-order rate equation. Mechanism of the adsorption process is studied by fitting the data with intraparticle diffusion model and Boyd plot. The studied adsorption process is both by film diffusion and intraparticle diffusion.","author":[{"dropping-particle":"","family":"Nethaji","given":"S.","non-dropping-particle":"","parse-names":false,"suffix":""},{"dropping-particle":"","family":"Sivasamy","given":"A.","non-dropping-particle":"","parse-names":false,"suffix":""}],"container-title":"Ecotoxicology and Environmental Safety","id":"ITEM-1","issue":"December 2016","issued":{"date-parts":[["2017"]]},"page":"292-297","publisher":"Elsevier","title":"Graphene oxide coated with porous iron oxide ribbons for 2, 4-Dichlorophenoxyacetic acid (2,4-D) removal","type":"article-journal","volume":"138"},"uris":["http://www.mendeley.com/documents/?uuid=a514c83d-6305-40f1-a8f7-2b9eb2309f38"]}],"mendeley":{"formattedCitation":"&lt;sup&gt;58&lt;/sup&gt;","plainTextFormattedCitation":"58","previouslyFormattedCitation":"&lt;sup&gt;58&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58</w:t>
            </w:r>
            <w:r w:rsidRPr="00B46270">
              <w:rPr>
                <w:rFonts w:asciiTheme="majorBidi" w:hAnsiTheme="majorBidi" w:cstheme="majorBidi"/>
                <w:color w:val="4472C4" w:themeColor="accent1"/>
                <w:sz w:val="24"/>
                <w:szCs w:val="24"/>
                <w:lang w:val="en-GB"/>
              </w:rPr>
              <w:fldChar w:fldCharType="end"/>
            </w:r>
          </w:p>
        </w:tc>
      </w:tr>
      <w:tr w:rsidR="00813493" w:rsidRPr="00B46270" w14:paraId="120E7FD8" w14:textId="77777777" w:rsidTr="00885737">
        <w:trPr>
          <w:trHeight w:val="279"/>
        </w:trPr>
        <w:tc>
          <w:tcPr>
            <w:tcW w:w="1859" w:type="dxa"/>
            <w:gridSpan w:val="2"/>
          </w:tcPr>
          <w:p w14:paraId="10CDE34F" w14:textId="77777777" w:rsidR="00813493" w:rsidRPr="00B46270" w:rsidRDefault="00813493" w:rsidP="00885737">
            <w:pPr>
              <w:rPr>
                <w:rFonts w:asciiTheme="majorBidi" w:hAnsiTheme="majorBidi" w:cstheme="majorBidi"/>
                <w:b/>
                <w:bCs/>
                <w:sz w:val="24"/>
                <w:szCs w:val="24"/>
                <w:lang w:val="en-GB"/>
              </w:rPr>
            </w:pPr>
            <w:r w:rsidRPr="00B46270">
              <w:rPr>
                <w:rFonts w:asciiTheme="majorBidi" w:hAnsiTheme="majorBidi" w:cstheme="majorBidi"/>
                <w:b/>
                <w:bCs/>
                <w:color w:val="000000"/>
                <w:sz w:val="24"/>
                <w:szCs w:val="24"/>
              </w:rPr>
              <w:t>UPAC-Fe</w:t>
            </w:r>
            <w:r w:rsidRPr="00B46270">
              <w:rPr>
                <w:rFonts w:asciiTheme="majorBidi" w:hAnsiTheme="majorBidi" w:cstheme="majorBidi"/>
                <w:b/>
                <w:bCs/>
                <w:color w:val="000000"/>
                <w:sz w:val="24"/>
                <w:szCs w:val="24"/>
                <w:vertAlign w:val="subscript"/>
              </w:rPr>
              <w:t>2</w:t>
            </w:r>
            <w:r w:rsidRPr="00B46270">
              <w:rPr>
                <w:rFonts w:asciiTheme="majorBidi" w:hAnsiTheme="majorBidi" w:cstheme="majorBidi"/>
                <w:b/>
                <w:bCs/>
                <w:color w:val="000000"/>
                <w:sz w:val="24"/>
                <w:szCs w:val="24"/>
              </w:rPr>
              <w:t>O</w:t>
            </w:r>
            <w:r w:rsidRPr="00B46270">
              <w:rPr>
                <w:rFonts w:asciiTheme="majorBidi" w:hAnsiTheme="majorBidi" w:cstheme="majorBidi"/>
                <w:b/>
                <w:bCs/>
                <w:color w:val="000000"/>
                <w:sz w:val="24"/>
                <w:szCs w:val="24"/>
                <w:vertAlign w:val="subscript"/>
              </w:rPr>
              <w:t>3</w:t>
            </w:r>
          </w:p>
        </w:tc>
        <w:tc>
          <w:tcPr>
            <w:tcW w:w="2810" w:type="dxa"/>
          </w:tcPr>
          <w:p w14:paraId="4595FF3A"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 xml:space="preserve">pH 2, 2.2 g/L, 30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 0.5 h</w:t>
            </w:r>
          </w:p>
        </w:tc>
        <w:tc>
          <w:tcPr>
            <w:tcW w:w="1910" w:type="dxa"/>
          </w:tcPr>
          <w:p w14:paraId="266D3062"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45E5F10C"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60.61 mg/g</w:t>
            </w:r>
          </w:p>
        </w:tc>
        <w:tc>
          <w:tcPr>
            <w:tcW w:w="2023" w:type="dxa"/>
          </w:tcPr>
          <w:p w14:paraId="215D4436"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{"citationItems":[{"id":"ITEM-1","itemData":{"DOI":"10.1016/j.chemosphere.2022.136883","ISSN":"18791298","PMID":"36257398","abstract":"In the present study, ferric oxide nanoparticles impregnated with activated carbon from Ulva prolifera biomass (UPAC−Fe2O3) were prepared and employed to remove 2,4-Dichlorophenoxyacetic acid (2,4-D) by adsorption. The UPAC−Fe2O3 nanocomposite was characterized for its structural and functional properties by a variety of techniques. The nanocomposite had a jagged, irregular surface with pores due to uneven scattering of Fe2O3 nanoparticles, whereas elemental analysis portrayed the incidence of carbon, oxygen, and iron. XRD analysis established the crystalline and amorphous planes corresponding to the iron oxide and carbon phase respectively. FT-IR analyzed the functional groups that confirmed the integration of Fe2O3 nanoparticles onto nanocomposite surfaces. VSM and XPS studies uncovered the superparamagnetic nature and presence of carbon and Fe2O3, respectively, in the UPAC−Fe2O3 nanocomposite. While the surface area was 292.51 m2/g, the size and volume of the pores were at 2.61 nm and 0.1906 cm3/g, respectively, indicating the mesoporous nature and suitability of the nanocomposites that could be used as adsorbents. Adsorptive removal of 2,4-D by nanocomposite for variations in process parameters like pH, dosage, agitation speed, adsorption time, and 2,4-D concentration was studied. The adsorption of 2,4-D by UPAC−Fe2O3 nanocomposite was monolayer chemisorption owing to Langmuir isotherm behavior along with a pseudo-second-order kinetic model. The maximum adsorption capacity and second order rate constant values were 60.61 mg/g and 0.0405 g/mg min respectively. Thermodynamic analysis revealed the spontaneous and feasible endothermic adsorption process. These findings confirm the suitability of the synthesized UPAC−Fe2O3 nanocomposite to be used as an adsorbent for toxic herbicide waste streams.","author":[{"dropping-particle":"","family":"Vinayagam","given":"Ramesh","non-dropping-particle":"","parse-names":false,"suffix":""},{"dropping-particle":"","family":"Ganga","given":"Saivedh","non-dropping-particle":"","parse-names":false,"suffix":""},{"dropping-particle":"","family":"Murugesan","given":"Gokulakrishnan","non-dropping-particle":"","parse-names":false,"suffix":""},{"dropping-particle":"","family":"Rangasamy","given":"Gayathri","non-dropping-particle":"","parse-names":false,"suffix":""},{"dropping-particle":"","family":"Bhole","given":"Ruchi","non-dropping-particle":"","parse-names":false,"suffix":""},{"dropping-particle":"","family":"Goveas","given":"Louella Concepta","non-dropping-particle":"","parse-names":false,"suffix":""},{"dropping-particle":"","family":"Varadavenkatesan","given":"Thivaharan","non-dropping-particle":"","parse-names":false,"suffix":""},{"dropping-particle":"","family":"Dave","given":"Niyam","non-dropping-particle":"","parse-names":false,"suffix":""},{"dropping-particle":"","family":"Samanth","given":"Adithya","non-dropping-particle":"","parse-names":false,"suffix":""},{"dropping-particle":"","family":"Radhika Devi","given":"V.","non-dropping-particle":"","parse-names":false,"suffix":""},{"dropping-particle":"","family":"Selvaraj","given":"Raja","non-dropping-particle":"","parse-names":false,"suffix":""}],"container-title":"Chemosphere","id":"ITEM-1","issue":"July 2022","issued":{"date-parts":[["2023"]]},"page":"136883","publisher":"Elsevier Ltd","title":"2,4-Dichlorophenoxyacetic acid (2,4-D) adsorptive removal by algal magnetic activated carbon nanocomposite","type":"article-journal","volume":"310"},"uris":["http://www.mendeley.com/documents/?uuid=5259bea2-04ed-4443-a8d7-41f979606889"]}],"mendeley":{"formattedCitation":"&lt;sup&gt;59&lt;/sup&gt;","plainTextFormattedCitation":"59","previouslyFormattedCitation":"&lt;sup&gt;59&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59</w:t>
            </w:r>
            <w:r w:rsidRPr="00B46270">
              <w:rPr>
                <w:rFonts w:asciiTheme="majorBidi" w:hAnsiTheme="majorBidi" w:cstheme="majorBidi"/>
                <w:color w:val="4472C4" w:themeColor="accent1"/>
                <w:sz w:val="24"/>
                <w:szCs w:val="24"/>
                <w:lang w:val="en-GB"/>
              </w:rPr>
              <w:fldChar w:fldCharType="end"/>
            </w:r>
          </w:p>
        </w:tc>
      </w:tr>
      <w:tr w:rsidR="00813493" w:rsidRPr="00B46270" w14:paraId="20F5C39C" w14:textId="77777777" w:rsidTr="00885737">
        <w:trPr>
          <w:trHeight w:val="269"/>
        </w:trPr>
        <w:tc>
          <w:tcPr>
            <w:tcW w:w="1859" w:type="dxa"/>
            <w:gridSpan w:val="2"/>
          </w:tcPr>
          <w:p w14:paraId="514B4C19" w14:textId="77777777" w:rsidR="00813493" w:rsidRPr="00B46270" w:rsidRDefault="00813493" w:rsidP="00885737">
            <w:pPr>
              <w:autoSpaceDE w:val="0"/>
              <w:autoSpaceDN w:val="0"/>
              <w:adjustRightInd w:val="0"/>
              <w:rPr>
                <w:rFonts w:asciiTheme="majorBidi" w:hAnsiTheme="majorBidi" w:cstheme="majorBidi"/>
                <w:b/>
                <w:bCs/>
                <w:sz w:val="24"/>
                <w:szCs w:val="24"/>
              </w:rPr>
            </w:pPr>
            <w:r w:rsidRPr="00B46270">
              <w:rPr>
                <w:rFonts w:asciiTheme="majorBidi" w:hAnsiTheme="majorBidi" w:cstheme="majorBidi"/>
                <w:b/>
                <w:bCs/>
                <w:sz w:val="24"/>
                <w:szCs w:val="24"/>
              </w:rPr>
              <w:t>TiO</w:t>
            </w:r>
            <w:r w:rsidRPr="00B46270">
              <w:rPr>
                <w:rFonts w:asciiTheme="majorBidi" w:hAnsiTheme="majorBidi" w:cstheme="majorBidi"/>
                <w:b/>
                <w:bCs/>
                <w:sz w:val="24"/>
                <w:szCs w:val="24"/>
                <w:vertAlign w:val="subscript"/>
              </w:rPr>
              <w:t>2</w:t>
            </w:r>
            <w:r w:rsidRPr="00B46270">
              <w:rPr>
                <w:rFonts w:asciiTheme="majorBidi" w:hAnsiTheme="majorBidi" w:cstheme="majorBidi"/>
                <w:b/>
                <w:bCs/>
                <w:sz w:val="24"/>
                <w:szCs w:val="24"/>
              </w:rPr>
              <w:t>/</w:t>
            </w:r>
            <w:proofErr w:type="spellStart"/>
            <w:r w:rsidRPr="00B46270">
              <w:rPr>
                <w:rFonts w:asciiTheme="majorBidi" w:hAnsiTheme="majorBidi" w:cstheme="majorBidi"/>
                <w:b/>
                <w:bCs/>
                <w:sz w:val="24"/>
                <w:szCs w:val="24"/>
              </w:rPr>
              <w:t>BiOBr</w:t>
            </w:r>
            <w:proofErr w:type="spellEnd"/>
            <w:r w:rsidRPr="00B46270">
              <w:rPr>
                <w:rFonts w:asciiTheme="majorBidi" w:hAnsiTheme="majorBidi" w:cstheme="majorBidi"/>
                <w:b/>
                <w:bCs/>
                <w:sz w:val="24"/>
                <w:szCs w:val="24"/>
              </w:rPr>
              <w:t>/</w:t>
            </w:r>
          </w:p>
          <w:p w14:paraId="50B331A0" w14:textId="77777777" w:rsidR="00813493" w:rsidRPr="00B46270" w:rsidRDefault="00813493" w:rsidP="00885737">
            <w:pPr>
              <w:autoSpaceDE w:val="0"/>
              <w:autoSpaceDN w:val="0"/>
              <w:adjustRightInd w:val="0"/>
              <w:rPr>
                <w:rFonts w:asciiTheme="majorBidi" w:hAnsiTheme="majorBidi" w:cstheme="majorBidi"/>
                <w:b/>
                <w:bCs/>
                <w:sz w:val="24"/>
                <w:szCs w:val="24"/>
              </w:rPr>
            </w:pPr>
            <w:r w:rsidRPr="00B46270">
              <w:rPr>
                <w:rFonts w:asciiTheme="majorBidi" w:hAnsiTheme="majorBidi" w:cstheme="majorBidi"/>
                <w:b/>
                <w:bCs/>
                <w:sz w:val="24"/>
                <w:szCs w:val="24"/>
              </w:rPr>
              <w:t>Bi</w:t>
            </w:r>
            <w:r w:rsidRPr="00B46270">
              <w:rPr>
                <w:rFonts w:asciiTheme="majorBidi" w:hAnsiTheme="majorBidi" w:cstheme="majorBidi"/>
                <w:b/>
                <w:bCs/>
                <w:sz w:val="24"/>
                <w:szCs w:val="24"/>
                <w:vertAlign w:val="subscript"/>
              </w:rPr>
              <w:t>2</w:t>
            </w:r>
            <w:r w:rsidRPr="00B46270">
              <w:rPr>
                <w:rFonts w:asciiTheme="majorBidi" w:hAnsiTheme="majorBidi" w:cstheme="majorBidi"/>
                <w:b/>
                <w:bCs/>
                <w:sz w:val="24"/>
                <w:szCs w:val="24"/>
              </w:rPr>
              <w:t>S</w:t>
            </w:r>
            <w:r w:rsidRPr="00B46270">
              <w:rPr>
                <w:rFonts w:asciiTheme="majorBidi" w:hAnsiTheme="majorBidi" w:cstheme="majorBidi"/>
                <w:b/>
                <w:bCs/>
                <w:sz w:val="24"/>
                <w:szCs w:val="24"/>
                <w:vertAlign w:val="subscript"/>
              </w:rPr>
              <w:t>3</w:t>
            </w:r>
            <w:r w:rsidRPr="00B46270">
              <w:rPr>
                <w:rFonts w:asciiTheme="majorBidi" w:hAnsiTheme="majorBidi" w:cstheme="majorBidi"/>
                <w:b/>
                <w:bCs/>
                <w:sz w:val="24"/>
                <w:szCs w:val="24"/>
              </w:rPr>
              <w:t>/AC</w:t>
            </w:r>
          </w:p>
        </w:tc>
        <w:tc>
          <w:tcPr>
            <w:tcW w:w="2810" w:type="dxa"/>
          </w:tcPr>
          <w:p w14:paraId="0583991A" w14:textId="77777777" w:rsidR="00813493" w:rsidRPr="00B46270" w:rsidRDefault="00813493" w:rsidP="00885737">
            <w:pPr>
              <w:jc w:val="center"/>
              <w:rPr>
                <w:rFonts w:asciiTheme="majorBidi" w:hAnsiTheme="majorBidi" w:cstheme="majorBidi"/>
                <w:sz w:val="24"/>
                <w:szCs w:val="24"/>
                <w:rtl/>
                <w:lang w:val="en-GB" w:bidi="ar-EG"/>
              </w:rPr>
            </w:pPr>
            <w:r w:rsidRPr="00B46270">
              <w:rPr>
                <w:rFonts w:asciiTheme="majorBidi" w:hAnsiTheme="majorBidi" w:cstheme="majorBidi"/>
                <w:sz w:val="24"/>
                <w:szCs w:val="24"/>
                <w:lang w:val="en-GB"/>
              </w:rPr>
              <w:t xml:space="preserve">pH 3, 0.6 g/L, 25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w:t>
            </w:r>
            <w:r w:rsidRPr="00B46270">
              <w:rPr>
                <w:rFonts w:asciiTheme="majorBidi" w:hAnsiTheme="majorBidi" w:cstheme="majorBidi" w:hint="cs"/>
                <w:sz w:val="24"/>
                <w:szCs w:val="24"/>
                <w:rtl/>
                <w:lang w:val="en-GB"/>
              </w:rPr>
              <w:t xml:space="preserve"> </w:t>
            </w:r>
            <w:r w:rsidRPr="00B46270">
              <w:rPr>
                <w:rFonts w:asciiTheme="majorBidi" w:hAnsiTheme="majorBidi" w:cstheme="majorBidi"/>
                <w:sz w:val="24"/>
                <w:szCs w:val="24"/>
                <w:lang w:val="en-GB"/>
              </w:rPr>
              <w:t>≈ 6 h</w:t>
            </w:r>
          </w:p>
        </w:tc>
        <w:tc>
          <w:tcPr>
            <w:tcW w:w="1910" w:type="dxa"/>
          </w:tcPr>
          <w:p w14:paraId="249522FC"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086BDB4B"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rPr>
              <w:t>87.61 mg/g</w:t>
            </w:r>
          </w:p>
        </w:tc>
        <w:tc>
          <w:tcPr>
            <w:tcW w:w="2023" w:type="dxa"/>
          </w:tcPr>
          <w:p w14:paraId="2CC87323"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{"citationItems":[{"id":"ITEM-1","itemData":{"DOI":"10.1016/j.enmm.2020.100415","ISSN":"22151532","abstract":"TiO2/BiOBr/Bi2S3 nanostructure impregnated on the activated carbon (AC) was synthesized, in order to achieve considerable synergy between photocatalysis and adsorption for 2,4-dichlorophenoxyacetic acid (2,4-D) removal from polluted water. The XRD, XRF, EDX, FE-SEM, and FT-IR analyses confirmed successful formation of the catalyst. The results of UV-DRS analysis, showed the estimated band gaps obtained were about 2.8 eV and 2.55 eV for the TiO2/BiOBr and TiO2/BiOBr/Bi2S3 nanostructures respectively showing high potential for the wide range of visible and solar spectrum. The photocatalytic degradation results based on the response surface methodology (RSM) experimental design confirmed that initial 2,4-D concentration, pH, catalyst concentration, irradiation time and the interaction between TiO2/BiOBr/Bi2S3/AC concentration and irradiation time had the most effects, respectively. The best results were obtained under the optimum conditions (2,4-D = 90 mg/L, pH = 3, catalyst = 0.6 mg/L and irradiation time = 90 min) on which the pollutant removal efficiency was 98 % and TOC removal efficiency was determined 74 %. Increasing the visible light intensity to 120 mW/cm2 resulted in a complete degradation. The coexistence of 10 % BiOBr and 5%Bi2S3 compounds on TiO2 not only increased the absorption edge to 600 nm and charge transportation but also improved photocatalytic properties of TiO2/BiOBr/Bi2S3/AC nanostructure as it could be an appropriate compound for water treatment.","author":[{"dropping-particle":"","family":"Alikhani","given":"Nasim","non-dropping-particle":"","parse-names":false,"suffix":""},{"dropping-particle":"","family":"Farhadian","given":"Mehrdad","non-dropping-particle":"","parse-names":false,"suffix":""},{"dropping-particle":"","family":"Goshadrou","given":"Amir","non-dropping-particle":"","parse-names":false,"suffix":""},{"dropping-particle":"","family":"Tangestaninejad","given":"Shahram","non-dropping-particle":"","parse-names":false,"suffix":""},{"dropping-particle":"","family":"Eskandari","given":"Parisa","non-dropping-particle":"","parse-names":false,"suffix":""}],"container-title":"Environmental Nanotechnology, Monitoring and Management","id":"ITEM-1","issue":"December 2020","issued":{"date-parts":[["2021"]]},"page":"100415","publisher":"Elsevier B.V.","title":"Photocatalytic degradation and adsorption of herbicide 2,4-dichlorophenoxyacetic acid from aqueous solution using TiO2/BiOBr/Bi2S3 nanostructure stabilized on the activated carbon under visible light","type":"article-journal","volume":"15"},"uris":["http://www.mendeley.com/documents/?uuid=908cb431-182a-436b-8089-0f7a8d4d9b24"]}],"mendeley":{"formattedCitation":"&lt;sup&gt;64&lt;/sup&gt;","plainTextFormattedCitation":"64","previouslyFormattedCitation":"&lt;sup&gt;64&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64</w:t>
            </w:r>
            <w:r w:rsidRPr="00B46270">
              <w:rPr>
                <w:rFonts w:asciiTheme="majorBidi" w:hAnsiTheme="majorBidi" w:cstheme="majorBidi"/>
                <w:color w:val="4472C4" w:themeColor="accent1"/>
                <w:sz w:val="24"/>
                <w:szCs w:val="24"/>
                <w:lang w:val="en-GB"/>
              </w:rPr>
              <w:fldChar w:fldCharType="end"/>
            </w:r>
          </w:p>
        </w:tc>
      </w:tr>
      <w:tr w:rsidR="00813493" w:rsidRPr="00B46270" w14:paraId="21034381" w14:textId="77777777" w:rsidTr="00885737">
        <w:trPr>
          <w:trHeight w:val="397"/>
        </w:trPr>
        <w:tc>
          <w:tcPr>
            <w:tcW w:w="1859" w:type="dxa"/>
            <w:gridSpan w:val="2"/>
          </w:tcPr>
          <w:p w14:paraId="0F5DEC80"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GA3</w:t>
            </w:r>
          </w:p>
        </w:tc>
        <w:tc>
          <w:tcPr>
            <w:tcW w:w="2810" w:type="dxa"/>
          </w:tcPr>
          <w:p w14:paraId="2146A027"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 7, 2.0 g/L, 25</w:t>
            </w:r>
            <w:r w:rsidRPr="00B46270">
              <w:rPr>
                <w:rFonts w:asciiTheme="majorBidi" w:hAnsiTheme="majorBidi" w:cstheme="majorBidi"/>
                <w:sz w:val="24"/>
                <w:szCs w:val="24"/>
                <w:vertAlign w:val="superscript"/>
                <w:lang w:val="en-GB"/>
              </w:rPr>
              <w:t xml:space="preserve">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w:t>
            </w:r>
            <w:r w:rsidRPr="00B46270">
              <w:rPr>
                <w:rFonts w:asciiTheme="majorBidi" w:hAnsiTheme="majorBidi" w:cstheme="majorBidi" w:hint="cs"/>
                <w:sz w:val="24"/>
                <w:szCs w:val="24"/>
                <w:rtl/>
                <w:lang w:val="en-GB"/>
              </w:rPr>
              <w:t xml:space="preserve"> </w:t>
            </w:r>
            <w:r w:rsidRPr="00B46270">
              <w:rPr>
                <w:rFonts w:asciiTheme="majorBidi" w:hAnsiTheme="majorBidi" w:cstheme="majorBidi"/>
                <w:sz w:val="24"/>
                <w:szCs w:val="24"/>
                <w:lang w:val="en-GB"/>
              </w:rPr>
              <w:t>6 h</w:t>
            </w:r>
          </w:p>
        </w:tc>
        <w:tc>
          <w:tcPr>
            <w:tcW w:w="1910" w:type="dxa"/>
          </w:tcPr>
          <w:p w14:paraId="2D7AADBE"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566826FE"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150.4 mg/g</w:t>
            </w:r>
          </w:p>
        </w:tc>
        <w:tc>
          <w:tcPr>
            <w:tcW w:w="2023" w:type="dxa"/>
          </w:tcPr>
          <w:p w14:paraId="74ACB75C"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{"citationItems":[{"id":"ITEM-1","itemData":{"DOI":"10.5004/dwt.2019.23523","ISSN":"19443986","abstract":"Calcium alginate beads (A), graphene oxide (GO) and GO/alginate beads composites (GA1, GA2 and GA3) as solid adsorbents were prepared and characterized by thermogravimetric curves (TGA), nitrogen adsorption/desorption curves, point of zero charge (pH PZC ), X-ray difffractometer (XRD), transmission electron microscope (TEM) and Fourier-transform infrared spectroscopy (FTIR). Adsorption of 2, 4-dichlorophenoxyacetic acid as one of the most toxic applied herbicide in the fields worldwide was studied considering the effect of different adsorption parameters. Results revealed that the optimum adsorbent dosage and initial pH value were found 2.0 g/L and pH 6, respectively. Freundlich and Langmuir adsorption models were applied and the maximum adsorption capacity was confirmed by GA3 (150.4 mg/g). Kinetic and thermodynamic studies proved that the adsorption follows the pseudo-second order kinetic models (PSO) and the exothermic spontaneous physisorption process.","author":[{"dropping-particle":"","family":"Hassan","given":"Asaad F.","non-dropping-particle":"","parse-names":false,"suffix":""}],"container-title":"Desalination and Water Treatment","id":"ITEM-1","issued":{"date-parts":[["2019"]]},"page":"187-196","title":"Enhanced adsorption of 2, 4-dichlorophenoxyacetic acid from aqueous medium by graphene oxide/alginate composites","type":"article-journal","volume":"141"},"uris":["http://www.mendeley.com/documents/?uuid=876dbca8-152e-4755-995d-5f070e646d9f"]}],"mendeley":{"formattedCitation":"&lt;sup&gt;65&lt;/sup&gt;","plainTextFormattedCitation":"65","previouslyFormattedCitation":"&lt;sup&gt;65&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65</w:t>
            </w:r>
            <w:r w:rsidRPr="00B46270">
              <w:rPr>
                <w:rFonts w:asciiTheme="majorBidi" w:hAnsiTheme="majorBidi" w:cstheme="majorBidi"/>
                <w:color w:val="4472C4" w:themeColor="accent1"/>
                <w:sz w:val="24"/>
                <w:szCs w:val="24"/>
                <w:lang w:val="en-GB"/>
              </w:rPr>
              <w:fldChar w:fldCharType="end"/>
            </w:r>
          </w:p>
        </w:tc>
      </w:tr>
      <w:tr w:rsidR="00813493" w:rsidRPr="00B46270" w14:paraId="7DCF798D" w14:textId="77777777" w:rsidTr="00885737">
        <w:trPr>
          <w:trHeight w:val="361"/>
        </w:trPr>
        <w:tc>
          <w:tcPr>
            <w:tcW w:w="1859" w:type="dxa"/>
            <w:gridSpan w:val="2"/>
          </w:tcPr>
          <w:p w14:paraId="154161BD"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sz w:val="24"/>
                <w:szCs w:val="24"/>
              </w:rPr>
              <w:t>NFL</w:t>
            </w:r>
          </w:p>
        </w:tc>
        <w:tc>
          <w:tcPr>
            <w:tcW w:w="2810" w:type="dxa"/>
          </w:tcPr>
          <w:p w14:paraId="084F5A25"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rPr>
              <w:t xml:space="preserve">pH 2, 2.4 g/L, 23 </w:t>
            </w:r>
            <w:proofErr w:type="spellStart"/>
            <w:r w:rsidRPr="00B46270">
              <w:rPr>
                <w:rFonts w:asciiTheme="majorBidi" w:hAnsiTheme="majorBidi" w:cstheme="majorBidi"/>
                <w:sz w:val="24"/>
                <w:szCs w:val="24"/>
                <w:vertAlign w:val="superscript"/>
              </w:rPr>
              <w:t>o</w:t>
            </w:r>
            <w:r w:rsidRPr="00B46270">
              <w:rPr>
                <w:rFonts w:asciiTheme="majorBidi" w:hAnsiTheme="majorBidi" w:cstheme="majorBidi"/>
                <w:sz w:val="24"/>
                <w:szCs w:val="24"/>
              </w:rPr>
              <w:t>C</w:t>
            </w:r>
            <w:proofErr w:type="spellEnd"/>
            <w:r w:rsidRPr="00B46270">
              <w:rPr>
                <w:rFonts w:asciiTheme="majorBidi" w:hAnsiTheme="majorBidi" w:cstheme="majorBidi"/>
                <w:sz w:val="24"/>
                <w:szCs w:val="24"/>
              </w:rPr>
              <w:t>, 14 h</w:t>
            </w:r>
          </w:p>
        </w:tc>
        <w:tc>
          <w:tcPr>
            <w:tcW w:w="1910" w:type="dxa"/>
          </w:tcPr>
          <w:p w14:paraId="6741DFAE"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Adsorption</w:t>
            </w:r>
          </w:p>
        </w:tc>
        <w:tc>
          <w:tcPr>
            <w:tcW w:w="1449" w:type="dxa"/>
          </w:tcPr>
          <w:p w14:paraId="652F16C9"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rPr>
              <w:t>203.75 mg/g</w:t>
            </w:r>
          </w:p>
        </w:tc>
        <w:tc>
          <w:tcPr>
            <w:tcW w:w="2023" w:type="dxa"/>
          </w:tcPr>
          <w:p w14:paraId="5A8A1188"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[This work]</w:t>
            </w:r>
          </w:p>
        </w:tc>
      </w:tr>
      <w:tr w:rsidR="00813493" w:rsidRPr="00B46270" w14:paraId="6CDCA172" w14:textId="77777777" w:rsidTr="00885737">
        <w:trPr>
          <w:trHeight w:val="279"/>
        </w:trPr>
        <w:tc>
          <w:tcPr>
            <w:tcW w:w="1859" w:type="dxa"/>
            <w:gridSpan w:val="2"/>
          </w:tcPr>
          <w:p w14:paraId="1B770CB0"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PT-1</w:t>
            </w:r>
          </w:p>
        </w:tc>
        <w:tc>
          <w:tcPr>
            <w:tcW w:w="2810" w:type="dxa"/>
          </w:tcPr>
          <w:p w14:paraId="412E7628"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 5, 10 mg/L, 0.5 g/L</w:t>
            </w:r>
          </w:p>
        </w:tc>
        <w:tc>
          <w:tcPr>
            <w:tcW w:w="1910" w:type="dxa"/>
          </w:tcPr>
          <w:p w14:paraId="2E77BB8B"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Photodegradation</w:t>
            </w:r>
          </w:p>
        </w:tc>
        <w:tc>
          <w:tcPr>
            <w:tcW w:w="1449" w:type="dxa"/>
          </w:tcPr>
          <w:p w14:paraId="42628343"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99.9%</w:t>
            </w:r>
          </w:p>
        </w:tc>
        <w:tc>
          <w:tcPr>
            <w:tcW w:w="2023" w:type="dxa"/>
          </w:tcPr>
          <w:p w14:paraId="58526AEB"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{"citationItems":[{"id":"ITEM-1","itemData":{"DOI":"10.1016/j.chemosphere.2022.134360","ISSN":"18791298","PMID":"35318015","abstract":"Polyaniline supported titanium dioxide nanoparticles (PTs) were fabricated using chemical oxidative aniline polymerization in the presence of titanium dioxide with ammonium peroxydisulfate as an oxidant. The synthesized PTs were thoroughly characterized for their morphological and functional features. PTs were employed for the photodegradation of acidic herbicides; 2,4-dichlorophenoxyacetic acid (2,4-D) and triclopyr acid (TCP). PT's surface modifications were imparted and their herbicide removal efficiencies were compared. The best operating conditions for adsorption/photocatalysis were 0.5 g/L photocatalyst, 10 mg/L concentration of individual herbicides resulted in 90.72% removal of TCP at pH 4 and 99.91% removal of 2,4-D at pH 5. Adsorption kinetics of herbicides, onto PT-1 showed the equilibrium attainment within 30 min and experimental data obeyed pseudo-second order model for TCP and 2,4-D removal which was governed by chemisorption. Analysis of TCP and 2,4-D adsorption indicated that the removal followed Sips model for TCP removal while Redlich-Peterson model explained the removal of 2,4-D by PT-1. Rate constants indicated that the amount of TiO2 in the PTs played an important role in removing the herbicides and PT-1 material excellent remarkable activity for three cycles of photodegradation. Thus, this work reports the polymerization of aniline onto TiO2 and their utility as photocatalyst for the expulsion of 2,4-D and TCP from water.","author":[{"dropping-particle":"","family":"Moradeeya","given":"Pareshkumar G.","non-dropping-particle":"","parse-names":false,"suffix":""},{"dropping-particle":"","family":"Kumar","given":"Madhava Anil","non-dropping-particle":"","parse-names":false,"suffix":""},{"dropping-particle":"","family":"Sharma","given":"Archana","non-dropping-particle":"","parse-names":false,"suffix":""},{"dropping-particle":"","family":"Basha","given":"Shaik","non-dropping-particle":"","parse-names":false,"suffix":""}],"container-title":"Chemosphere","id":"ITEM-1","issue":"February","issued":{"date-parts":[["2022"]]},"page":"134360","publisher":"Elsevier Ltd","title":"Conductive polymer layered semiconductor for degradation of triclopyr acid and 2,4-dichlorophenoxyacetic acid from aqueous stream using coalesce adsorption-photocatalysis technique","type":"article-journal","volume":"298"},"uris":["http://www.mendeley.com/documents/?uuid=df0b66db-36af-4f6f-98af-1485d5378362"]}],"mendeley":{"formattedCitation":"&lt;sup&gt;2&lt;/sup&gt;","plainTextFormattedCitation":"2","previouslyFormattedCitation":"&lt;sup&gt;2&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2</w:t>
            </w:r>
            <w:r w:rsidRPr="00B46270">
              <w:rPr>
                <w:rFonts w:asciiTheme="majorBidi" w:hAnsiTheme="majorBidi" w:cstheme="majorBidi"/>
                <w:color w:val="4472C4" w:themeColor="accent1"/>
                <w:sz w:val="24"/>
                <w:szCs w:val="24"/>
                <w:lang w:val="en-GB"/>
              </w:rPr>
              <w:fldChar w:fldCharType="end"/>
            </w:r>
          </w:p>
        </w:tc>
      </w:tr>
      <w:tr w:rsidR="00813493" w:rsidRPr="00B46270" w14:paraId="616DE5DD" w14:textId="77777777" w:rsidTr="00885737">
        <w:trPr>
          <w:trHeight w:val="269"/>
        </w:trPr>
        <w:tc>
          <w:tcPr>
            <w:tcW w:w="1859" w:type="dxa"/>
            <w:gridSpan w:val="2"/>
          </w:tcPr>
          <w:p w14:paraId="672A77B7" w14:textId="77777777" w:rsidR="00813493" w:rsidRPr="00B46270" w:rsidRDefault="00813493" w:rsidP="00885737">
            <w:pPr>
              <w:autoSpaceDE w:val="0"/>
              <w:autoSpaceDN w:val="0"/>
              <w:adjustRightInd w:val="0"/>
              <w:rPr>
                <w:rFonts w:asciiTheme="majorBidi" w:hAnsiTheme="majorBidi" w:cstheme="majorBidi"/>
                <w:b/>
                <w:bCs/>
                <w:sz w:val="24"/>
                <w:szCs w:val="24"/>
              </w:rPr>
            </w:pPr>
            <w:r w:rsidRPr="00B46270">
              <w:rPr>
                <w:rFonts w:asciiTheme="majorBidi" w:hAnsiTheme="majorBidi" w:cstheme="majorBidi"/>
                <w:b/>
                <w:bCs/>
                <w:color w:val="000000"/>
                <w:sz w:val="24"/>
                <w:szCs w:val="24"/>
              </w:rPr>
              <w:t>Magnetite/UV</w:t>
            </w:r>
          </w:p>
        </w:tc>
        <w:tc>
          <w:tcPr>
            <w:tcW w:w="2810" w:type="dxa"/>
          </w:tcPr>
          <w:p w14:paraId="633F977F"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 xml:space="preserve">pH= 6, 50 mg/L, 25 </w:t>
            </w:r>
            <w:proofErr w:type="spellStart"/>
            <w:r w:rsidRPr="00B46270">
              <w:rPr>
                <w:rFonts w:asciiTheme="majorBidi" w:hAnsiTheme="majorBidi" w:cstheme="majorBidi"/>
                <w:sz w:val="24"/>
                <w:szCs w:val="24"/>
                <w:vertAlign w:val="superscript"/>
                <w:lang w:val="en-GB"/>
              </w:rPr>
              <w:t>o</w:t>
            </w:r>
            <w:r w:rsidRPr="00B46270">
              <w:rPr>
                <w:rFonts w:asciiTheme="majorBidi" w:hAnsiTheme="majorBidi" w:cstheme="majorBidi"/>
                <w:sz w:val="24"/>
                <w:szCs w:val="24"/>
                <w:lang w:val="en-GB"/>
              </w:rPr>
              <w:t>C</w:t>
            </w:r>
            <w:proofErr w:type="spellEnd"/>
            <w:r w:rsidRPr="00B46270">
              <w:rPr>
                <w:rFonts w:asciiTheme="majorBidi" w:hAnsiTheme="majorBidi" w:cstheme="majorBidi"/>
                <w:sz w:val="24"/>
                <w:szCs w:val="24"/>
                <w:lang w:val="en-GB"/>
              </w:rPr>
              <w:t>, 135 min</w:t>
            </w:r>
          </w:p>
        </w:tc>
        <w:tc>
          <w:tcPr>
            <w:tcW w:w="1910" w:type="dxa"/>
          </w:tcPr>
          <w:p w14:paraId="19A3D22F"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Photodegradation</w:t>
            </w:r>
          </w:p>
        </w:tc>
        <w:tc>
          <w:tcPr>
            <w:tcW w:w="1449" w:type="dxa"/>
          </w:tcPr>
          <w:p w14:paraId="3CC30FE5"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~65.7%</w:t>
            </w:r>
          </w:p>
        </w:tc>
        <w:tc>
          <w:tcPr>
            <w:tcW w:w="2023" w:type="dxa"/>
          </w:tcPr>
          <w:p w14:paraId="22458E39"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{"citationItems":[{"id":"ITEM-1","itemData":{"DOI":"10.1016/j.jece.2021.106967","ISSN":"22133437","abstract":"Agrochemicals are potential environmental pollutants due to their toxicity and resistance to degradation. Suitable water, soil and sediment remediation methods are needed to mitigate the environmental impacts of the application of agrochemicals on crops. In this work, chitosan/sawdust/magnetite composite membranes (catalysts) were synthesized, characterized using Fourier-transform infrared (FT-IR) spectroscopy, thermogravimetric analysis (TGA), differential scanning calorimetry (DSC), scanning electron microscopy (SEM) and X-ray diffraction (XRD) and used for the photodegradation of agrochemicals [2,4-dichlorophenoxyacetic acid (2,4-D) as pollutant model] in water. FT-IR spectra confirmed the presence of chemical groups in the membrane chains. TGA indicated that the membranes have suitable thermal stability for the photodegradation of 2,4-D in water. SEM images indicated morphological changes after varying the chemical composition of the membrane. X-ray diffractograms indicated the presence of different average crystallite sizes in the membrane chains. The photodegradation efficiency of 2,4-D was affected by the pH and temperature of the aqueous solutions as well as the magnetite content incorporated in the membrane chains. The multilayer formation of magnetite in the membrane structure and the intermolecular interactions between the magnetite and wood fiber affected photodegradation efficiency due to the blocking of UV radiation. The optimal experimental conditions for the photodegradation of 2,4-D in water were i) magnetite content of 5 wt% in the membrane chain, ii) pH 6.0 and iii) temperature of 25 °C. Chitosan/sawdust/magnetite composite membranes proved to be potential catalysts for the photodegradation of agrochemicals in water and wastewater purification processes. Moreover, these membranes can be reused in successive photodegradation cycles.","author":[{"dropping-particle":"","family":"Paz","given":"Maurício José","non-dropping-particle":"","parse-names":false,"suffix":""},{"dropping-particle":"","family":"Vieira","given":"Tainara","non-dropping-particle":"","parse-names":false,"suffix":""},{"dropping-particle":"","family":"Enzweiler","given":"Heveline","non-dropping-particle":"","parse-names":false,"suffix":""},{"dropping-particle":"","family":"Paulino","given":"Alexandre Tadeu","non-dropping-particle":"","parse-names":false,"suffix":""}],"container-title":"Journal of Environmental Chemical Engineering","id":"ITEM-1","issue":"1","issued":{"date-parts":[["2022"]]},"title":"Chitosan/wood sawdust/magnetite composite membranes for the photodegradation of agrochemicals in water","type":"article-journal","volume":"10"},"uris":["http://www.mendeley.com/documents/?uuid=355ca1d0-844b-402b-8979-0d0eb7cc4f07"]}],"mendeley":{"formattedCitation":"&lt;sup&gt;12&lt;/sup&gt;","plainTextFormattedCitation":"12","previouslyFormattedCitation":"&lt;sup&gt;12&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12</w:t>
            </w:r>
            <w:r w:rsidRPr="00B46270">
              <w:rPr>
                <w:rFonts w:asciiTheme="majorBidi" w:hAnsiTheme="majorBidi" w:cstheme="majorBidi"/>
                <w:color w:val="4472C4" w:themeColor="accent1"/>
                <w:sz w:val="24"/>
                <w:szCs w:val="24"/>
                <w:lang w:val="en-GB"/>
              </w:rPr>
              <w:fldChar w:fldCharType="end"/>
            </w:r>
          </w:p>
        </w:tc>
      </w:tr>
      <w:tr w:rsidR="00813493" w:rsidRPr="00B46270" w14:paraId="0D663FDC" w14:textId="77777777" w:rsidTr="00885737">
        <w:trPr>
          <w:trHeight w:val="269"/>
        </w:trPr>
        <w:tc>
          <w:tcPr>
            <w:tcW w:w="1859" w:type="dxa"/>
            <w:gridSpan w:val="2"/>
          </w:tcPr>
          <w:p w14:paraId="50184239" w14:textId="77777777" w:rsidR="00813493" w:rsidRPr="00B46270" w:rsidRDefault="00813493" w:rsidP="00885737">
            <w:pPr>
              <w:autoSpaceDE w:val="0"/>
              <w:autoSpaceDN w:val="0"/>
              <w:adjustRightInd w:val="0"/>
              <w:rPr>
                <w:rFonts w:asciiTheme="majorBidi" w:hAnsiTheme="majorBidi" w:cstheme="majorBidi"/>
                <w:b/>
                <w:bCs/>
                <w:sz w:val="24"/>
                <w:szCs w:val="24"/>
              </w:rPr>
            </w:pPr>
            <w:r w:rsidRPr="00B46270">
              <w:rPr>
                <w:rFonts w:asciiTheme="majorBidi" w:hAnsiTheme="majorBidi" w:cstheme="majorBidi"/>
                <w:b/>
                <w:bCs/>
                <w:sz w:val="24"/>
                <w:szCs w:val="24"/>
              </w:rPr>
              <w:t>TiO</w:t>
            </w:r>
            <w:r w:rsidRPr="00B46270">
              <w:rPr>
                <w:rFonts w:asciiTheme="majorBidi" w:hAnsiTheme="majorBidi" w:cstheme="majorBidi"/>
                <w:b/>
                <w:bCs/>
                <w:sz w:val="24"/>
                <w:szCs w:val="24"/>
                <w:vertAlign w:val="subscript"/>
              </w:rPr>
              <w:t>2</w:t>
            </w:r>
            <w:r w:rsidRPr="00B46270">
              <w:rPr>
                <w:rFonts w:asciiTheme="majorBidi" w:hAnsiTheme="majorBidi" w:cstheme="majorBidi"/>
                <w:b/>
                <w:bCs/>
                <w:sz w:val="24"/>
                <w:szCs w:val="24"/>
              </w:rPr>
              <w:t>/</w:t>
            </w:r>
            <w:proofErr w:type="spellStart"/>
            <w:r w:rsidRPr="00B46270">
              <w:rPr>
                <w:rFonts w:asciiTheme="majorBidi" w:hAnsiTheme="majorBidi" w:cstheme="majorBidi"/>
                <w:b/>
                <w:bCs/>
                <w:sz w:val="24"/>
                <w:szCs w:val="24"/>
              </w:rPr>
              <w:t>BiOBr</w:t>
            </w:r>
            <w:proofErr w:type="spellEnd"/>
            <w:r w:rsidRPr="00B46270">
              <w:rPr>
                <w:rFonts w:asciiTheme="majorBidi" w:hAnsiTheme="majorBidi" w:cstheme="majorBidi"/>
                <w:b/>
                <w:bCs/>
                <w:sz w:val="24"/>
                <w:szCs w:val="24"/>
              </w:rPr>
              <w:t>/</w:t>
            </w:r>
          </w:p>
          <w:p w14:paraId="4DB176F9"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sz w:val="24"/>
                <w:szCs w:val="24"/>
              </w:rPr>
              <w:t>Bi</w:t>
            </w:r>
            <w:r w:rsidRPr="00B46270">
              <w:rPr>
                <w:rFonts w:asciiTheme="majorBidi" w:hAnsiTheme="majorBidi" w:cstheme="majorBidi"/>
                <w:b/>
                <w:bCs/>
                <w:sz w:val="24"/>
                <w:szCs w:val="24"/>
                <w:vertAlign w:val="subscript"/>
              </w:rPr>
              <w:t>2</w:t>
            </w:r>
            <w:r w:rsidRPr="00B46270">
              <w:rPr>
                <w:rFonts w:asciiTheme="majorBidi" w:hAnsiTheme="majorBidi" w:cstheme="majorBidi"/>
                <w:b/>
                <w:bCs/>
                <w:sz w:val="24"/>
                <w:szCs w:val="24"/>
              </w:rPr>
              <w:t>S</w:t>
            </w:r>
            <w:r w:rsidRPr="00B46270">
              <w:rPr>
                <w:rFonts w:asciiTheme="majorBidi" w:hAnsiTheme="majorBidi" w:cstheme="majorBidi"/>
                <w:b/>
                <w:bCs/>
                <w:sz w:val="24"/>
                <w:szCs w:val="24"/>
                <w:vertAlign w:val="subscript"/>
              </w:rPr>
              <w:t>3</w:t>
            </w:r>
            <w:r w:rsidRPr="00B46270">
              <w:rPr>
                <w:rFonts w:asciiTheme="majorBidi" w:hAnsiTheme="majorBidi" w:cstheme="majorBidi"/>
                <w:b/>
                <w:bCs/>
                <w:sz w:val="24"/>
                <w:szCs w:val="24"/>
              </w:rPr>
              <w:t>/AC</w:t>
            </w:r>
          </w:p>
        </w:tc>
        <w:tc>
          <w:tcPr>
            <w:tcW w:w="2810" w:type="dxa"/>
          </w:tcPr>
          <w:p w14:paraId="2C2E085F"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 =3, 90 mg/L, 0.6 g/L, 90 min</w:t>
            </w:r>
          </w:p>
        </w:tc>
        <w:tc>
          <w:tcPr>
            <w:tcW w:w="1910" w:type="dxa"/>
          </w:tcPr>
          <w:p w14:paraId="7D03FD26"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Photodegradation</w:t>
            </w:r>
          </w:p>
        </w:tc>
        <w:tc>
          <w:tcPr>
            <w:tcW w:w="1449" w:type="dxa"/>
          </w:tcPr>
          <w:p w14:paraId="1D139670"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98.0%</w:t>
            </w:r>
          </w:p>
        </w:tc>
        <w:tc>
          <w:tcPr>
            <w:tcW w:w="2023" w:type="dxa"/>
          </w:tcPr>
          <w:p w14:paraId="137F1571"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{"citationItems":[{"id":"ITEM-1","itemData":{"DOI":"10.1016/j.enmm.2020.100415","ISSN":"22151532","abstract":"TiO2/BiOBr/Bi2S3 nanostructure impregnated on the activated carbon (AC) was synthesized, in order to achieve considerable synergy between photocatalysis and adsorption for 2,4-dichlorophenoxyacetic acid (2,4-D) removal from polluted water. The XRD, XRF, EDX, FE-SEM, and FT-IR analyses confirmed successful formation of the catalyst. The results of UV-DRS analysis, showed the estimated band gaps obtained were about 2.8 eV and 2.55 eV for the TiO2/BiOBr and TiO2/BiOBr/Bi2S3 nanostructures respectively showing high potential for the wide range of visible and solar spectrum. The photocatalytic degradation results based on the response surface methodology (RSM) experimental design confirmed that initial 2,4-D concentration, pH, catalyst concentration, irradiation time and the interaction between TiO2/BiOBr/Bi2S3/AC concentration and irradiation time had the most effects, respectively. The best results were obtained under the optimum conditions (2,4-D = 90 mg/L, pH = 3, catalyst = 0.6 mg/L and irradiation time = 90 min) on which the pollutant removal efficiency was 98 % and TOC removal efficiency was determined 74 %. Increasing the visible light intensity to 120 mW/cm2 resulted in a complete degradation. The coexistence of 10 % BiOBr and 5%Bi2S3 compounds on TiO2 not only increased the absorption edge to 600 nm and charge transportation but also improved photocatalytic properties of TiO2/BiOBr/Bi2S3/AC nanostructure as it could be an appropriate compound for water treatment.","author":[{"dropping-particle":"","family":"Alikhani","given":"Nasim","non-dropping-particle":"","parse-names":false,"suffix":""},{"dropping-particle":"","family":"Farhadian","given":"Mehrdad","non-dropping-particle":"","parse-names":false,"suffix":""},{"dropping-particle":"","family":"Goshadrou","given":"Amir","non-dropping-particle":"","parse-names":false,"suffix":""},{"dropping-particle":"","family":"Tangestaninejad","given":"Shahram","non-dropping-particle":"","parse-names":false,"suffix":""},{"dropping-particle":"","family":"Eskandari","given":"Parisa","non-dropping-particle":"","parse-names":false,"suffix":""}],"container-title":"Environmental Nanotechnology, Monitoring and Management","id":"ITEM-1","issue":"December 2020","issued":{"date-parts":[["2021"]]},"page":"100415","publisher":"Elsevier B.V.","title":"Photocatalytic degradation and adsorption of herbicide 2,4-dichlorophenoxyacetic acid from aqueous solution using TiO2/BiOBr/Bi2S3 nanostructure stabilized on the activated carbon under visible light","type":"article-journal","volume":"15"},"uris":["http://www.mendeley.com/documents/?uuid=908cb431-182a-436b-8089-0f7a8d4d9b24"]}],"mendeley":{"formattedCitation":"&lt;sup&gt;64&lt;/sup&gt;","plainTextFormattedCitation":"64","previouslyFormattedCitation":"&lt;sup&gt;64&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64</w:t>
            </w:r>
            <w:r w:rsidRPr="00B46270">
              <w:rPr>
                <w:rFonts w:asciiTheme="majorBidi" w:hAnsiTheme="majorBidi" w:cstheme="majorBidi"/>
                <w:color w:val="4472C4" w:themeColor="accent1"/>
                <w:sz w:val="24"/>
                <w:szCs w:val="24"/>
                <w:lang w:val="en-GB"/>
              </w:rPr>
              <w:fldChar w:fldCharType="end"/>
            </w:r>
          </w:p>
        </w:tc>
      </w:tr>
      <w:tr w:rsidR="00813493" w:rsidRPr="00B46270" w14:paraId="2BD788DD" w14:textId="77777777" w:rsidTr="00885737">
        <w:trPr>
          <w:trHeight w:val="279"/>
        </w:trPr>
        <w:tc>
          <w:tcPr>
            <w:tcW w:w="1859" w:type="dxa"/>
            <w:gridSpan w:val="2"/>
          </w:tcPr>
          <w:p w14:paraId="26AC8A0E"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color w:val="000000"/>
                <w:sz w:val="24"/>
                <w:szCs w:val="24"/>
              </w:rPr>
              <w:t>Calcined LDH</w:t>
            </w:r>
          </w:p>
        </w:tc>
        <w:tc>
          <w:tcPr>
            <w:tcW w:w="2810" w:type="dxa"/>
          </w:tcPr>
          <w:p w14:paraId="4438F83A"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w:t>
            </w:r>
            <w:r w:rsidRPr="00B46270">
              <w:rPr>
                <w:rFonts w:asciiTheme="majorBidi" w:hAnsiTheme="majorBidi" w:cstheme="majorBidi" w:hint="cs"/>
                <w:sz w:val="24"/>
                <w:szCs w:val="24"/>
                <w:rtl/>
                <w:lang w:val="en-GB"/>
              </w:rPr>
              <w:t xml:space="preserve"> </w:t>
            </w:r>
            <w:r w:rsidRPr="00B46270">
              <w:rPr>
                <w:rFonts w:asciiTheme="majorBidi" w:hAnsiTheme="majorBidi" w:cstheme="majorBidi"/>
                <w:sz w:val="24"/>
                <w:szCs w:val="24"/>
                <w:lang w:val="en-GB"/>
              </w:rPr>
              <w:t>≈ 3, 320.5 mg/L, 1.0 g/L, 9 h</w:t>
            </w:r>
          </w:p>
        </w:tc>
        <w:tc>
          <w:tcPr>
            <w:tcW w:w="1910" w:type="dxa"/>
          </w:tcPr>
          <w:p w14:paraId="5897AB4D"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Photodegradation</w:t>
            </w:r>
          </w:p>
        </w:tc>
        <w:tc>
          <w:tcPr>
            <w:tcW w:w="1449" w:type="dxa"/>
          </w:tcPr>
          <w:p w14:paraId="4D9387D5"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97.0%</w:t>
            </w:r>
          </w:p>
        </w:tc>
        <w:tc>
          <w:tcPr>
            <w:tcW w:w="2023" w:type="dxa"/>
          </w:tcPr>
          <w:p w14:paraId="2FCECE92" w14:textId="77777777" w:rsidR="00813493" w:rsidRPr="00B46270" w:rsidRDefault="00813493" w:rsidP="00885737">
            <w:pPr>
              <w:jc w:val="center"/>
              <w:rPr>
                <w:rFonts w:asciiTheme="majorBidi" w:hAnsiTheme="majorBidi" w:cstheme="majorBidi"/>
                <w:color w:val="4472C4" w:themeColor="accent1"/>
                <w:sz w:val="24"/>
                <w:szCs w:val="24"/>
                <w:lang w:val="en-GB"/>
              </w:rPr>
            </w:pPr>
            <w:r w:rsidRPr="00B46270">
              <w:rPr>
                <w:rFonts w:asciiTheme="majorBidi" w:hAnsiTheme="majorBidi" w:cstheme="majorBidi"/>
                <w:color w:val="4472C4" w:themeColor="accent1"/>
                <w:sz w:val="24"/>
                <w:szCs w:val="24"/>
                <w:lang w:val="en-GB"/>
              </w:rPr>
              <w:fldChar w:fldCharType="begin" w:fldLock="1"/>
            </w:r>
            <w:r w:rsidRPr="00B46270">
              <w:rPr>
                <w:rFonts w:asciiTheme="majorBidi" w:hAnsiTheme="majorBidi" w:cstheme="majorBidi"/>
                <w:color w:val="4472C4" w:themeColor="accent1"/>
                <w:sz w:val="24"/>
                <w:szCs w:val="24"/>
                <w:lang w:val="en-GB"/>
              </w:rPr>
              <w:instrText>ADDIN CSL_CITATION {"citationItems":[{"id":"ITEM-1","itemData":{"DOI":"10.1016/j.apcatb.2009.03.019","ISSN":"09263373","abstract":"Mg-Zn-Al layered double hydroxides (LDHs) with varying amounts of zinc were prepared by the coprecipitation method. Solids were analyzed by XRD and N2 physisorption, confirming the formation of pure LDH phase; and the production of mixed oxides with high specific surface areas (182-276 m2 g-1) after calcination. Band gap energy was also determined, presenting the expected decreasing tendency on increasing zinc amounts. These mixed oxides were tested both for the adsorption of 2,4 dichlorophenoxiacetic acid (2,4-d) and for the photocatalytic degradation of 2,4-d and phenol. Nearly total (97%) degradation of initial 1.45 mmol L-1 of 2,4-d, with 1 g calcined LDH per liter, was accomplished in 9 h, while phenol half-life was as short as 3.5 h, with the catalyst with lowest zinc amount (5 wt.%). Langmuir adsorption isotherms are presented. Solids were also characterized by XRD and FTIR analysis after photocatalytic and adsorption activity, to determine the presence of 2,4-d. The versatility of LDH decomposition products in the elimination of different contaminants by different mechanisms puts them forward as a viable alternative for environmental remediation. © 2009 Elsevier B.V. All rights reserved.","author":[{"dropping-particle":"","family":"Valente","given":"Jaime S.","non-dropping-particle":"","parse-names":false,"suffix":""},{"dropping-particle":"","family":"Tzompantzi","given":"Francisco","non-dropping-particle":"","parse-names":false,"suffix":""},{"dropping-particle":"","family":"Prince","given":"Julia","non-dropping-particle":"","parse-names":false,"suffix":""},{"dropping-particle":"","family":"Cortez","given":"Jose G.H.","non-dropping-particle":"","parse-names":false,"suffix":""},{"dropping-particle":"","family":"Gomez","given":"Ricardo","non-dropping-particle":"","parse-names":false,"suffix":""}],"container-title":"Applied Catalysis B: Environmental","id":"ITEM-1","issue":"3-4","issued":{"date-parts":[["2009"]]},"page":"330-338","title":"Adsorption and photocatalytic degradation of phenol and 2,4 dichlorophenoxiacetic acid by Mg-Zn-Al layered double hydroxides","type":"article-journal","volume":"90"},"uris":["http://www.mendeley.com/documents/?uuid=1ee85e1a-c165-43dc-b886-ab445741c302"]}],"mendeley":{"formattedCitation":"&lt;sup&gt;66&lt;/sup&gt;","plainTextFormattedCitation":"66","previouslyFormattedCitation":"&lt;sup&gt;66&lt;/sup&gt;"},"properties":{"noteIndex":0},"schema":"https://github.com/citation-style-language/schema/raw/master/csl-citation.json"}</w:instrText>
            </w:r>
            <w:r w:rsidRPr="00B46270">
              <w:rPr>
                <w:rFonts w:asciiTheme="majorBidi" w:hAnsiTheme="majorBidi" w:cstheme="majorBidi"/>
                <w:color w:val="4472C4" w:themeColor="accent1"/>
                <w:sz w:val="24"/>
                <w:szCs w:val="24"/>
                <w:lang w:val="en-GB"/>
              </w:rPr>
              <w:fldChar w:fldCharType="separate"/>
            </w:r>
            <w:r w:rsidRPr="00B46270">
              <w:rPr>
                <w:rFonts w:asciiTheme="majorBidi" w:hAnsiTheme="majorBidi" w:cstheme="majorBidi"/>
                <w:noProof/>
                <w:color w:val="4472C4" w:themeColor="accent1"/>
                <w:sz w:val="24"/>
                <w:szCs w:val="24"/>
                <w:vertAlign w:val="superscript"/>
                <w:lang w:val="en-GB"/>
              </w:rPr>
              <w:t>66</w:t>
            </w:r>
            <w:r w:rsidRPr="00B46270">
              <w:rPr>
                <w:rFonts w:asciiTheme="majorBidi" w:hAnsiTheme="majorBidi" w:cstheme="majorBidi"/>
                <w:color w:val="4472C4" w:themeColor="accent1"/>
                <w:sz w:val="24"/>
                <w:szCs w:val="24"/>
                <w:lang w:val="en-GB"/>
              </w:rPr>
              <w:fldChar w:fldCharType="end"/>
            </w:r>
          </w:p>
        </w:tc>
      </w:tr>
      <w:tr w:rsidR="00813493" w:rsidRPr="00B46270" w14:paraId="38CFADB1" w14:textId="77777777" w:rsidTr="00885737">
        <w:trPr>
          <w:trHeight w:val="279"/>
        </w:trPr>
        <w:tc>
          <w:tcPr>
            <w:tcW w:w="1859" w:type="dxa"/>
            <w:gridSpan w:val="2"/>
          </w:tcPr>
          <w:p w14:paraId="06AA4740" w14:textId="77777777" w:rsidR="00813493" w:rsidRPr="00B46270" w:rsidRDefault="00813493" w:rsidP="00885737">
            <w:pPr>
              <w:autoSpaceDE w:val="0"/>
              <w:autoSpaceDN w:val="0"/>
              <w:adjustRightInd w:val="0"/>
              <w:rPr>
                <w:rFonts w:asciiTheme="majorBidi" w:hAnsiTheme="majorBidi" w:cstheme="majorBidi"/>
                <w:b/>
                <w:bCs/>
                <w:color w:val="000000"/>
                <w:sz w:val="24"/>
                <w:szCs w:val="24"/>
              </w:rPr>
            </w:pPr>
            <w:r w:rsidRPr="00B46270">
              <w:rPr>
                <w:rFonts w:asciiTheme="majorBidi" w:hAnsiTheme="majorBidi" w:cstheme="majorBidi"/>
                <w:b/>
                <w:bCs/>
                <w:sz w:val="24"/>
                <w:szCs w:val="24"/>
              </w:rPr>
              <w:t>Ag@CNFL</w:t>
            </w:r>
          </w:p>
        </w:tc>
        <w:tc>
          <w:tcPr>
            <w:tcW w:w="2810" w:type="dxa"/>
          </w:tcPr>
          <w:p w14:paraId="4D7C283C"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rPr>
              <w:t xml:space="preserve">pH 3.2, 15 mg/L, 1.0 g/L, 20 </w:t>
            </w:r>
            <w:proofErr w:type="spellStart"/>
            <w:r w:rsidRPr="00B46270">
              <w:rPr>
                <w:rFonts w:asciiTheme="majorBidi" w:hAnsiTheme="majorBidi" w:cstheme="majorBidi"/>
                <w:sz w:val="24"/>
                <w:szCs w:val="24"/>
                <w:vertAlign w:val="superscript"/>
              </w:rPr>
              <w:t>o</w:t>
            </w:r>
            <w:r w:rsidRPr="00B46270">
              <w:rPr>
                <w:rFonts w:asciiTheme="majorBidi" w:hAnsiTheme="majorBidi" w:cstheme="majorBidi"/>
                <w:sz w:val="24"/>
                <w:szCs w:val="24"/>
              </w:rPr>
              <w:t>C</w:t>
            </w:r>
            <w:proofErr w:type="spellEnd"/>
            <w:r w:rsidRPr="00B46270">
              <w:rPr>
                <w:rFonts w:asciiTheme="majorBidi" w:hAnsiTheme="majorBidi" w:cstheme="majorBidi"/>
                <w:sz w:val="24"/>
                <w:szCs w:val="24"/>
              </w:rPr>
              <w:t>, 110 min</w:t>
            </w:r>
          </w:p>
        </w:tc>
        <w:tc>
          <w:tcPr>
            <w:tcW w:w="1910" w:type="dxa"/>
          </w:tcPr>
          <w:p w14:paraId="2F20524D"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Photodegradation</w:t>
            </w:r>
          </w:p>
        </w:tc>
        <w:tc>
          <w:tcPr>
            <w:tcW w:w="1449" w:type="dxa"/>
          </w:tcPr>
          <w:p w14:paraId="060218E9"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100.0%</w:t>
            </w:r>
          </w:p>
        </w:tc>
        <w:tc>
          <w:tcPr>
            <w:tcW w:w="2023" w:type="dxa"/>
          </w:tcPr>
          <w:p w14:paraId="19825A52" w14:textId="77777777" w:rsidR="00813493" w:rsidRPr="00B46270" w:rsidRDefault="00813493" w:rsidP="00885737">
            <w:pPr>
              <w:jc w:val="center"/>
              <w:rPr>
                <w:rFonts w:asciiTheme="majorBidi" w:hAnsiTheme="majorBidi" w:cstheme="majorBidi"/>
                <w:sz w:val="24"/>
                <w:szCs w:val="24"/>
                <w:lang w:val="en-GB"/>
              </w:rPr>
            </w:pPr>
            <w:r w:rsidRPr="00B46270">
              <w:rPr>
                <w:rFonts w:asciiTheme="majorBidi" w:hAnsiTheme="majorBidi" w:cstheme="majorBidi"/>
                <w:sz w:val="24"/>
                <w:szCs w:val="24"/>
                <w:lang w:val="en-GB"/>
              </w:rPr>
              <w:t>[This work]</w:t>
            </w:r>
          </w:p>
        </w:tc>
      </w:tr>
    </w:tbl>
    <w:p w14:paraId="108CEAA2" w14:textId="77777777" w:rsidR="00885737" w:rsidRPr="00B46270" w:rsidRDefault="00885737" w:rsidP="003865C9">
      <w:pPr>
        <w:spacing w:line="360" w:lineRule="auto"/>
        <w:jc w:val="both"/>
        <w:rPr>
          <w:rFonts w:asciiTheme="majorBidi" w:hAnsiTheme="majorBidi" w:cstheme="majorBidi"/>
          <w:sz w:val="24"/>
          <w:szCs w:val="24"/>
        </w:rPr>
      </w:pPr>
    </w:p>
    <w:p w14:paraId="584DD98F" w14:textId="0597D6C2" w:rsidR="00981C96" w:rsidRPr="00B46270" w:rsidRDefault="00981C96" w:rsidP="003865C9">
      <w:pPr>
        <w:spacing w:line="360" w:lineRule="auto"/>
        <w:jc w:val="both"/>
        <w:rPr>
          <w:rFonts w:asciiTheme="majorBidi" w:hAnsiTheme="majorBidi" w:cstheme="majorBidi"/>
          <w:b/>
          <w:bCs/>
          <w:sz w:val="24"/>
          <w:szCs w:val="24"/>
        </w:rPr>
      </w:pPr>
      <w:r w:rsidRPr="00B46270">
        <w:rPr>
          <w:rFonts w:asciiTheme="majorBidi" w:hAnsiTheme="majorBidi" w:cstheme="majorBidi"/>
          <w:b/>
          <w:bCs/>
          <w:sz w:val="24"/>
          <w:szCs w:val="24"/>
        </w:rPr>
        <w:t>References</w:t>
      </w:r>
    </w:p>
    <w:p w14:paraId="2A8A1EFB" w14:textId="17830846" w:rsidR="00813493" w:rsidRPr="00B46270" w:rsidRDefault="003865C9"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heme="majorBidi" w:hAnsiTheme="majorBidi" w:cstheme="majorBidi"/>
          <w:b/>
          <w:bCs/>
          <w:sz w:val="24"/>
          <w:szCs w:val="24"/>
        </w:rPr>
        <w:fldChar w:fldCharType="begin" w:fldLock="1"/>
      </w:r>
      <w:r w:rsidRPr="00B46270">
        <w:rPr>
          <w:rFonts w:asciiTheme="majorBidi" w:hAnsiTheme="majorBidi" w:cstheme="majorBidi"/>
          <w:b/>
          <w:bCs/>
          <w:sz w:val="24"/>
          <w:szCs w:val="24"/>
        </w:rPr>
        <w:instrText xml:space="preserve">ADDIN Mendeley Bibliography CSL_BIBLIOGRAPHY </w:instrText>
      </w:r>
      <w:r w:rsidRPr="00B46270">
        <w:rPr>
          <w:rFonts w:asciiTheme="majorBidi" w:hAnsiTheme="majorBidi" w:cstheme="majorBidi"/>
          <w:b/>
          <w:bCs/>
          <w:sz w:val="24"/>
          <w:szCs w:val="24"/>
        </w:rPr>
        <w:fldChar w:fldCharType="separate"/>
      </w:r>
      <w:r w:rsidR="00813493" w:rsidRPr="00B46270">
        <w:rPr>
          <w:rFonts w:ascii="Times New Roman" w:hAnsi="Times New Roman" w:cs="Times New Roman"/>
          <w:noProof/>
          <w:kern w:val="0"/>
          <w:sz w:val="24"/>
        </w:rPr>
        <w:t>1</w:t>
      </w:r>
      <w:r w:rsidR="00813493" w:rsidRPr="00B46270">
        <w:rPr>
          <w:rFonts w:ascii="Times New Roman" w:hAnsi="Times New Roman" w:cs="Times New Roman"/>
          <w:noProof/>
          <w:kern w:val="0"/>
          <w:sz w:val="24"/>
        </w:rPr>
        <w:tab/>
        <w:t xml:space="preserve">R. Vinayagam, V. Nagendran, L. C. Goveas, M. K. Narasimhan, T. Varadavenkatesan, A. Samanth and R. Selvaraj, </w:t>
      </w:r>
      <w:r w:rsidR="00813493" w:rsidRPr="00B46270">
        <w:rPr>
          <w:rFonts w:ascii="Times New Roman" w:hAnsi="Times New Roman" w:cs="Times New Roman"/>
          <w:i/>
          <w:iCs/>
          <w:noProof/>
          <w:kern w:val="0"/>
          <w:sz w:val="24"/>
        </w:rPr>
        <w:t>Chemosphere</w:t>
      </w:r>
      <w:r w:rsidR="00813493" w:rsidRPr="00B46270">
        <w:rPr>
          <w:rFonts w:ascii="Times New Roman" w:hAnsi="Times New Roman" w:cs="Times New Roman"/>
          <w:noProof/>
          <w:kern w:val="0"/>
          <w:sz w:val="24"/>
        </w:rPr>
        <w:t xml:space="preserve">, 2024, </w:t>
      </w:r>
      <w:r w:rsidR="00813493" w:rsidRPr="00B46270">
        <w:rPr>
          <w:rFonts w:ascii="Times New Roman" w:hAnsi="Times New Roman" w:cs="Times New Roman"/>
          <w:b/>
          <w:bCs/>
          <w:noProof/>
          <w:kern w:val="0"/>
          <w:sz w:val="24"/>
        </w:rPr>
        <w:t>350</w:t>
      </w:r>
      <w:r w:rsidR="00813493" w:rsidRPr="00B46270">
        <w:rPr>
          <w:rFonts w:ascii="Times New Roman" w:hAnsi="Times New Roman" w:cs="Times New Roman"/>
          <w:noProof/>
          <w:kern w:val="0"/>
          <w:sz w:val="24"/>
        </w:rPr>
        <w:t>, 141130.</w:t>
      </w:r>
    </w:p>
    <w:p w14:paraId="0FD352C3"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imes New Roman" w:hAnsi="Times New Roman" w:cs="Times New Roman"/>
          <w:noProof/>
          <w:kern w:val="0"/>
          <w:sz w:val="24"/>
        </w:rPr>
        <w:t>2</w:t>
      </w:r>
      <w:r w:rsidRPr="00B46270">
        <w:rPr>
          <w:rFonts w:ascii="Times New Roman" w:hAnsi="Times New Roman" w:cs="Times New Roman"/>
          <w:noProof/>
          <w:kern w:val="0"/>
          <w:sz w:val="24"/>
        </w:rPr>
        <w:tab/>
        <w:t xml:space="preserve">A. Samanth, R. Selvaraj, G. Murugesan, T. Varadavenkatesan and R. Vinayagam, </w:t>
      </w:r>
      <w:r w:rsidRPr="00B46270">
        <w:rPr>
          <w:rFonts w:ascii="Times New Roman" w:hAnsi="Times New Roman" w:cs="Times New Roman"/>
          <w:i/>
          <w:iCs/>
          <w:noProof/>
          <w:kern w:val="0"/>
          <w:sz w:val="24"/>
        </w:rPr>
        <w:t>Chemosphere</w:t>
      </w:r>
      <w:r w:rsidRPr="00B46270">
        <w:rPr>
          <w:rFonts w:ascii="Times New Roman" w:hAnsi="Times New Roman" w:cs="Times New Roman"/>
          <w:noProof/>
          <w:kern w:val="0"/>
          <w:sz w:val="24"/>
        </w:rPr>
        <w:t xml:space="preserve">, 2024, </w:t>
      </w:r>
      <w:r w:rsidRPr="00B46270">
        <w:rPr>
          <w:rFonts w:ascii="Times New Roman" w:hAnsi="Times New Roman" w:cs="Times New Roman"/>
          <w:b/>
          <w:bCs/>
          <w:noProof/>
          <w:kern w:val="0"/>
          <w:sz w:val="24"/>
        </w:rPr>
        <w:t>361</w:t>
      </w:r>
      <w:r w:rsidRPr="00B46270">
        <w:rPr>
          <w:rFonts w:ascii="Times New Roman" w:hAnsi="Times New Roman" w:cs="Times New Roman"/>
          <w:noProof/>
          <w:kern w:val="0"/>
          <w:sz w:val="24"/>
        </w:rPr>
        <w:t>, 142513.</w:t>
      </w:r>
    </w:p>
    <w:p w14:paraId="391AB292"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imes New Roman" w:hAnsi="Times New Roman" w:cs="Times New Roman"/>
          <w:noProof/>
          <w:kern w:val="0"/>
          <w:sz w:val="24"/>
        </w:rPr>
        <w:t>3</w:t>
      </w:r>
      <w:r w:rsidRPr="00B46270">
        <w:rPr>
          <w:rFonts w:ascii="Times New Roman" w:hAnsi="Times New Roman" w:cs="Times New Roman"/>
          <w:noProof/>
          <w:kern w:val="0"/>
          <w:sz w:val="24"/>
        </w:rPr>
        <w:tab/>
        <w:t xml:space="preserve">H. Mohamed Flafel, M. Rafatullah, J. Lalung, R. Thapar Kapoor, M. Raza Siddiqui and M. Qutob, </w:t>
      </w:r>
      <w:r w:rsidRPr="00B46270">
        <w:rPr>
          <w:rFonts w:ascii="Times New Roman" w:hAnsi="Times New Roman" w:cs="Times New Roman"/>
          <w:i/>
          <w:iCs/>
          <w:noProof/>
          <w:kern w:val="0"/>
          <w:sz w:val="24"/>
        </w:rPr>
        <w:t>J. Mol. Liq.</w:t>
      </w:r>
      <w:r w:rsidRPr="00B46270">
        <w:rPr>
          <w:rFonts w:ascii="Times New Roman" w:hAnsi="Times New Roman" w:cs="Times New Roman"/>
          <w:noProof/>
          <w:kern w:val="0"/>
          <w:sz w:val="24"/>
        </w:rPr>
        <w:t xml:space="preserve">, 2024, </w:t>
      </w:r>
      <w:r w:rsidRPr="00B46270">
        <w:rPr>
          <w:rFonts w:ascii="Times New Roman" w:hAnsi="Times New Roman" w:cs="Times New Roman"/>
          <w:b/>
          <w:bCs/>
          <w:noProof/>
          <w:kern w:val="0"/>
          <w:sz w:val="24"/>
        </w:rPr>
        <w:t>401</w:t>
      </w:r>
      <w:r w:rsidRPr="00B46270">
        <w:rPr>
          <w:rFonts w:ascii="Times New Roman" w:hAnsi="Times New Roman" w:cs="Times New Roman"/>
          <w:noProof/>
          <w:kern w:val="0"/>
          <w:sz w:val="24"/>
        </w:rPr>
        <w:t>, 124754.</w:t>
      </w:r>
    </w:p>
    <w:p w14:paraId="50415990"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imes New Roman" w:hAnsi="Times New Roman" w:cs="Times New Roman"/>
          <w:noProof/>
          <w:kern w:val="0"/>
          <w:sz w:val="24"/>
        </w:rPr>
        <w:t>4</w:t>
      </w:r>
      <w:r w:rsidRPr="00B46270">
        <w:rPr>
          <w:rFonts w:ascii="Times New Roman" w:hAnsi="Times New Roman" w:cs="Times New Roman"/>
          <w:noProof/>
          <w:kern w:val="0"/>
          <w:sz w:val="24"/>
        </w:rPr>
        <w:tab/>
        <w:t xml:space="preserve">B. Liu, N. Guo, Z. Wang, Y. Wang, X. Hao, Z. Yang and Q. Yang, </w:t>
      </w:r>
      <w:r w:rsidRPr="00B46270">
        <w:rPr>
          <w:rFonts w:ascii="Times New Roman" w:hAnsi="Times New Roman" w:cs="Times New Roman"/>
          <w:i/>
          <w:iCs/>
          <w:noProof/>
          <w:kern w:val="0"/>
          <w:sz w:val="24"/>
        </w:rPr>
        <w:t xml:space="preserve">J. Environ. Chem. </w:t>
      </w:r>
      <w:r w:rsidRPr="00B46270">
        <w:rPr>
          <w:rFonts w:ascii="Times New Roman" w:hAnsi="Times New Roman" w:cs="Times New Roman"/>
          <w:i/>
          <w:iCs/>
          <w:noProof/>
          <w:kern w:val="0"/>
          <w:sz w:val="24"/>
        </w:rPr>
        <w:lastRenderedPageBreak/>
        <w:t>Eng.</w:t>
      </w:r>
      <w:r w:rsidRPr="00B46270">
        <w:rPr>
          <w:rFonts w:ascii="Times New Roman" w:hAnsi="Times New Roman" w:cs="Times New Roman"/>
          <w:noProof/>
          <w:kern w:val="0"/>
          <w:sz w:val="24"/>
        </w:rPr>
        <w:t xml:space="preserve">, 2022, </w:t>
      </w:r>
      <w:r w:rsidRPr="00B46270">
        <w:rPr>
          <w:rFonts w:ascii="Times New Roman" w:hAnsi="Times New Roman" w:cs="Times New Roman"/>
          <w:b/>
          <w:bCs/>
          <w:noProof/>
          <w:kern w:val="0"/>
          <w:sz w:val="24"/>
        </w:rPr>
        <w:t>10</w:t>
      </w:r>
      <w:r w:rsidRPr="00B46270">
        <w:rPr>
          <w:rFonts w:ascii="Times New Roman" w:hAnsi="Times New Roman" w:cs="Times New Roman"/>
          <w:noProof/>
          <w:kern w:val="0"/>
          <w:sz w:val="24"/>
        </w:rPr>
        <w:t>, 107472.</w:t>
      </w:r>
    </w:p>
    <w:p w14:paraId="7615D0EF"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imes New Roman" w:hAnsi="Times New Roman" w:cs="Times New Roman"/>
          <w:noProof/>
          <w:kern w:val="0"/>
          <w:sz w:val="24"/>
        </w:rPr>
        <w:t>5</w:t>
      </w:r>
      <w:r w:rsidRPr="00B46270">
        <w:rPr>
          <w:rFonts w:ascii="Times New Roman" w:hAnsi="Times New Roman" w:cs="Times New Roman"/>
          <w:noProof/>
          <w:kern w:val="0"/>
          <w:sz w:val="24"/>
        </w:rPr>
        <w:tab/>
        <w:t xml:space="preserve">P. R. Lestari, T. Takei and N. Kumada, </w:t>
      </w:r>
      <w:r w:rsidRPr="00B46270">
        <w:rPr>
          <w:rFonts w:ascii="Times New Roman" w:hAnsi="Times New Roman" w:cs="Times New Roman"/>
          <w:i/>
          <w:iCs/>
          <w:noProof/>
          <w:kern w:val="0"/>
          <w:sz w:val="24"/>
        </w:rPr>
        <w:t>J. Solid State Chem.</w:t>
      </w:r>
      <w:r w:rsidRPr="00B46270">
        <w:rPr>
          <w:rFonts w:ascii="Times New Roman" w:hAnsi="Times New Roman" w:cs="Times New Roman"/>
          <w:noProof/>
          <w:kern w:val="0"/>
          <w:sz w:val="24"/>
        </w:rPr>
        <w:t xml:space="preserve">, 2021, </w:t>
      </w:r>
      <w:r w:rsidRPr="00B46270">
        <w:rPr>
          <w:rFonts w:ascii="Times New Roman" w:hAnsi="Times New Roman" w:cs="Times New Roman"/>
          <w:b/>
          <w:bCs/>
          <w:noProof/>
          <w:kern w:val="0"/>
          <w:sz w:val="24"/>
        </w:rPr>
        <w:t>294</w:t>
      </w:r>
      <w:r w:rsidRPr="00B46270">
        <w:rPr>
          <w:rFonts w:ascii="Times New Roman" w:hAnsi="Times New Roman" w:cs="Times New Roman"/>
          <w:noProof/>
          <w:kern w:val="0"/>
          <w:sz w:val="24"/>
        </w:rPr>
        <w:t>, 121858.</w:t>
      </w:r>
    </w:p>
    <w:p w14:paraId="3DFD690B"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imes New Roman" w:hAnsi="Times New Roman" w:cs="Times New Roman"/>
          <w:noProof/>
          <w:kern w:val="0"/>
          <w:sz w:val="24"/>
        </w:rPr>
        <w:t>6</w:t>
      </w:r>
      <w:r w:rsidRPr="00B46270">
        <w:rPr>
          <w:rFonts w:ascii="Times New Roman" w:hAnsi="Times New Roman" w:cs="Times New Roman"/>
          <w:noProof/>
          <w:kern w:val="0"/>
          <w:sz w:val="24"/>
        </w:rPr>
        <w:tab/>
        <w:t xml:space="preserve">L. Tabana, D. R. Booysens and S. Tichapondwa, </w:t>
      </w:r>
      <w:r w:rsidRPr="00B46270">
        <w:rPr>
          <w:rFonts w:ascii="Times New Roman" w:hAnsi="Times New Roman" w:cs="Times New Roman"/>
          <w:i/>
          <w:iCs/>
          <w:noProof/>
          <w:kern w:val="0"/>
          <w:sz w:val="24"/>
        </w:rPr>
        <w:t>J. Photochem. Photobiol. A Chem.</w:t>
      </w:r>
      <w:r w:rsidRPr="00B46270">
        <w:rPr>
          <w:rFonts w:ascii="Times New Roman" w:hAnsi="Times New Roman" w:cs="Times New Roman"/>
          <w:noProof/>
          <w:kern w:val="0"/>
          <w:sz w:val="24"/>
        </w:rPr>
        <w:t xml:space="preserve">, 2023, </w:t>
      </w:r>
      <w:r w:rsidRPr="00B46270">
        <w:rPr>
          <w:rFonts w:ascii="Times New Roman" w:hAnsi="Times New Roman" w:cs="Times New Roman"/>
          <w:b/>
          <w:bCs/>
          <w:noProof/>
          <w:kern w:val="0"/>
          <w:sz w:val="24"/>
        </w:rPr>
        <w:t>444</w:t>
      </w:r>
      <w:r w:rsidRPr="00B46270">
        <w:rPr>
          <w:rFonts w:ascii="Times New Roman" w:hAnsi="Times New Roman" w:cs="Times New Roman"/>
          <w:noProof/>
          <w:kern w:val="0"/>
          <w:sz w:val="24"/>
        </w:rPr>
        <w:t>, 114997.</w:t>
      </w:r>
    </w:p>
    <w:p w14:paraId="3DB3AD87"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imes New Roman" w:hAnsi="Times New Roman" w:cs="Times New Roman"/>
          <w:noProof/>
          <w:kern w:val="0"/>
          <w:sz w:val="24"/>
        </w:rPr>
        <w:t>7</w:t>
      </w:r>
      <w:r w:rsidRPr="00B46270">
        <w:rPr>
          <w:rFonts w:ascii="Times New Roman" w:hAnsi="Times New Roman" w:cs="Times New Roman"/>
          <w:noProof/>
          <w:kern w:val="0"/>
          <w:sz w:val="24"/>
        </w:rPr>
        <w:tab/>
        <w:t xml:space="preserve">L. Bi, G. Fu, D. Cai, J. Shen, J. Zhang, J. Kang, Y. Cheng, P. Yan, Y. Zhou and Z. Chen, </w:t>
      </w:r>
      <w:r w:rsidRPr="00B46270">
        <w:rPr>
          <w:rFonts w:ascii="Times New Roman" w:hAnsi="Times New Roman" w:cs="Times New Roman"/>
          <w:i/>
          <w:iCs/>
          <w:noProof/>
          <w:kern w:val="0"/>
          <w:sz w:val="24"/>
        </w:rPr>
        <w:t>Sep. Purif. Technol.</w:t>
      </w:r>
      <w:r w:rsidRPr="00B46270">
        <w:rPr>
          <w:rFonts w:ascii="Times New Roman" w:hAnsi="Times New Roman" w:cs="Times New Roman"/>
          <w:noProof/>
          <w:kern w:val="0"/>
          <w:sz w:val="24"/>
        </w:rPr>
        <w:t xml:space="preserve">, 2023, </w:t>
      </w:r>
      <w:r w:rsidRPr="00B46270">
        <w:rPr>
          <w:rFonts w:ascii="Times New Roman" w:hAnsi="Times New Roman" w:cs="Times New Roman"/>
          <w:b/>
          <w:bCs/>
          <w:noProof/>
          <w:kern w:val="0"/>
          <w:sz w:val="24"/>
        </w:rPr>
        <w:t>306</w:t>
      </w:r>
      <w:r w:rsidRPr="00B46270">
        <w:rPr>
          <w:rFonts w:ascii="Times New Roman" w:hAnsi="Times New Roman" w:cs="Times New Roman"/>
          <w:noProof/>
          <w:kern w:val="0"/>
          <w:sz w:val="24"/>
        </w:rPr>
        <w:t>, 122562.</w:t>
      </w:r>
    </w:p>
    <w:p w14:paraId="3114E86A"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imes New Roman" w:hAnsi="Times New Roman" w:cs="Times New Roman"/>
          <w:noProof/>
          <w:kern w:val="0"/>
          <w:sz w:val="24"/>
        </w:rPr>
        <w:t>8</w:t>
      </w:r>
      <w:r w:rsidRPr="00B46270">
        <w:rPr>
          <w:rFonts w:ascii="Times New Roman" w:hAnsi="Times New Roman" w:cs="Times New Roman"/>
          <w:noProof/>
          <w:kern w:val="0"/>
          <w:sz w:val="24"/>
        </w:rPr>
        <w:tab/>
        <w:t xml:space="preserve">T. O. Ajiboye, E. E. Imade, O. A. Oyewo and D. C. Onwudiwe, </w:t>
      </w:r>
      <w:r w:rsidRPr="00B46270">
        <w:rPr>
          <w:rFonts w:ascii="Times New Roman" w:hAnsi="Times New Roman" w:cs="Times New Roman"/>
          <w:i/>
          <w:iCs/>
          <w:noProof/>
          <w:kern w:val="0"/>
          <w:sz w:val="24"/>
        </w:rPr>
        <w:t>J. Photochem. Photobiol. A Chem.</w:t>
      </w:r>
      <w:r w:rsidRPr="00B46270">
        <w:rPr>
          <w:rFonts w:ascii="Times New Roman" w:hAnsi="Times New Roman" w:cs="Times New Roman"/>
          <w:noProof/>
          <w:kern w:val="0"/>
          <w:sz w:val="24"/>
        </w:rPr>
        <w:t xml:space="preserve">, 2022, </w:t>
      </w:r>
      <w:r w:rsidRPr="00B46270">
        <w:rPr>
          <w:rFonts w:ascii="Times New Roman" w:hAnsi="Times New Roman" w:cs="Times New Roman"/>
          <w:b/>
          <w:bCs/>
          <w:noProof/>
          <w:kern w:val="0"/>
          <w:sz w:val="24"/>
        </w:rPr>
        <w:t>432</w:t>
      </w:r>
      <w:r w:rsidRPr="00B46270">
        <w:rPr>
          <w:rFonts w:ascii="Times New Roman" w:hAnsi="Times New Roman" w:cs="Times New Roman"/>
          <w:noProof/>
          <w:kern w:val="0"/>
          <w:sz w:val="24"/>
        </w:rPr>
        <w:t>, 114107.</w:t>
      </w:r>
    </w:p>
    <w:p w14:paraId="0A24F238"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kern w:val="0"/>
          <w:sz w:val="24"/>
        </w:rPr>
      </w:pPr>
      <w:r w:rsidRPr="00B46270">
        <w:rPr>
          <w:rFonts w:ascii="Times New Roman" w:hAnsi="Times New Roman" w:cs="Times New Roman"/>
          <w:noProof/>
          <w:kern w:val="0"/>
          <w:sz w:val="24"/>
        </w:rPr>
        <w:t>9</w:t>
      </w:r>
      <w:r w:rsidRPr="00B46270">
        <w:rPr>
          <w:rFonts w:ascii="Times New Roman" w:hAnsi="Times New Roman" w:cs="Times New Roman"/>
          <w:noProof/>
          <w:kern w:val="0"/>
          <w:sz w:val="24"/>
        </w:rPr>
        <w:tab/>
        <w:t xml:space="preserve">R. Fazaeli, H. Aliyan, D. Richeson and Y. Li, </w:t>
      </w:r>
      <w:r w:rsidRPr="00B46270">
        <w:rPr>
          <w:rFonts w:ascii="Times New Roman" w:hAnsi="Times New Roman" w:cs="Times New Roman"/>
          <w:i/>
          <w:iCs/>
          <w:noProof/>
          <w:kern w:val="0"/>
          <w:sz w:val="24"/>
        </w:rPr>
        <w:t>J. Environ. Sci. (China)</w:t>
      </w:r>
      <w:r w:rsidRPr="00B46270">
        <w:rPr>
          <w:rFonts w:ascii="Times New Roman" w:hAnsi="Times New Roman" w:cs="Times New Roman"/>
          <w:noProof/>
          <w:kern w:val="0"/>
          <w:sz w:val="24"/>
        </w:rPr>
        <w:t xml:space="preserve">, 2025, </w:t>
      </w:r>
      <w:r w:rsidRPr="00B46270">
        <w:rPr>
          <w:rFonts w:ascii="Times New Roman" w:hAnsi="Times New Roman" w:cs="Times New Roman"/>
          <w:b/>
          <w:bCs/>
          <w:noProof/>
          <w:kern w:val="0"/>
          <w:sz w:val="24"/>
        </w:rPr>
        <w:t>148</w:t>
      </w:r>
      <w:r w:rsidRPr="00B46270">
        <w:rPr>
          <w:rFonts w:ascii="Times New Roman" w:hAnsi="Times New Roman" w:cs="Times New Roman"/>
          <w:noProof/>
          <w:kern w:val="0"/>
          <w:sz w:val="24"/>
        </w:rPr>
        <w:t>, 437–450.</w:t>
      </w:r>
    </w:p>
    <w:p w14:paraId="466CFB4D" w14:textId="77777777" w:rsidR="00813493" w:rsidRPr="00B46270" w:rsidRDefault="00813493" w:rsidP="00813493">
      <w:pPr>
        <w:widowControl w:val="0"/>
        <w:autoSpaceDE w:val="0"/>
        <w:autoSpaceDN w:val="0"/>
        <w:adjustRightInd w:val="0"/>
        <w:spacing w:line="360" w:lineRule="auto"/>
        <w:ind w:left="640" w:hanging="640"/>
        <w:rPr>
          <w:rFonts w:ascii="Times New Roman" w:hAnsi="Times New Roman" w:cs="Times New Roman"/>
          <w:noProof/>
          <w:sz w:val="24"/>
        </w:rPr>
      </w:pPr>
      <w:r w:rsidRPr="00B46270">
        <w:rPr>
          <w:rFonts w:ascii="Times New Roman" w:hAnsi="Times New Roman" w:cs="Times New Roman"/>
          <w:noProof/>
          <w:kern w:val="0"/>
          <w:sz w:val="24"/>
        </w:rPr>
        <w:t>10</w:t>
      </w:r>
      <w:r w:rsidRPr="00B46270">
        <w:rPr>
          <w:rFonts w:ascii="Times New Roman" w:hAnsi="Times New Roman" w:cs="Times New Roman"/>
          <w:noProof/>
          <w:kern w:val="0"/>
          <w:sz w:val="24"/>
        </w:rPr>
        <w:tab/>
        <w:t xml:space="preserve">H. huan Chen, S. hua Luo, X. fei Lei, H. Liu, Y. ying Liu, X. yu Xu, Z. hua Jiang and X. dong Li, </w:t>
      </w:r>
      <w:r w:rsidRPr="00B46270">
        <w:rPr>
          <w:rFonts w:ascii="Times New Roman" w:hAnsi="Times New Roman" w:cs="Times New Roman"/>
          <w:i/>
          <w:iCs/>
          <w:noProof/>
          <w:kern w:val="0"/>
          <w:sz w:val="24"/>
        </w:rPr>
        <w:t>Ionics (Kiel).</w:t>
      </w:r>
      <w:r w:rsidRPr="00B46270">
        <w:rPr>
          <w:rFonts w:ascii="Times New Roman" w:hAnsi="Times New Roman" w:cs="Times New Roman"/>
          <w:noProof/>
          <w:kern w:val="0"/>
          <w:sz w:val="24"/>
        </w:rPr>
        <w:t xml:space="preserve">, 2020, </w:t>
      </w:r>
      <w:r w:rsidRPr="00B46270">
        <w:rPr>
          <w:rFonts w:ascii="Times New Roman" w:hAnsi="Times New Roman" w:cs="Times New Roman"/>
          <w:b/>
          <w:bCs/>
          <w:noProof/>
          <w:kern w:val="0"/>
          <w:sz w:val="24"/>
        </w:rPr>
        <w:t>26</w:t>
      </w:r>
      <w:r w:rsidRPr="00B46270">
        <w:rPr>
          <w:rFonts w:ascii="Times New Roman" w:hAnsi="Times New Roman" w:cs="Times New Roman"/>
          <w:noProof/>
          <w:kern w:val="0"/>
          <w:sz w:val="24"/>
        </w:rPr>
        <w:t>, 5829–5839.</w:t>
      </w:r>
    </w:p>
    <w:p w14:paraId="0BCC45C3" w14:textId="2B966D12" w:rsidR="003865C9" w:rsidRPr="00A2753F" w:rsidRDefault="003865C9" w:rsidP="003865C9">
      <w:pPr>
        <w:spacing w:line="360" w:lineRule="auto"/>
        <w:jc w:val="both"/>
        <w:rPr>
          <w:rFonts w:asciiTheme="majorBidi" w:hAnsiTheme="majorBidi" w:cstheme="majorBidi"/>
          <w:b/>
          <w:bCs/>
          <w:sz w:val="24"/>
          <w:szCs w:val="24"/>
        </w:rPr>
      </w:pPr>
      <w:r w:rsidRPr="00B46270">
        <w:rPr>
          <w:rFonts w:asciiTheme="majorBidi" w:hAnsiTheme="majorBidi" w:cstheme="majorBidi"/>
          <w:b/>
          <w:bCs/>
          <w:sz w:val="24"/>
          <w:szCs w:val="24"/>
        </w:rPr>
        <w:fldChar w:fldCharType="end"/>
      </w:r>
    </w:p>
    <w:p w14:paraId="03517FFF" w14:textId="77777777" w:rsidR="005828E6" w:rsidRPr="00A2753F" w:rsidRDefault="005828E6" w:rsidP="005828E6">
      <w:pPr>
        <w:jc w:val="both"/>
        <w:rPr>
          <w:rFonts w:asciiTheme="majorBidi" w:hAnsiTheme="majorBidi" w:cstheme="majorBidi"/>
          <w:sz w:val="24"/>
          <w:szCs w:val="24"/>
        </w:rPr>
      </w:pPr>
    </w:p>
    <w:p w14:paraId="0B5377FE" w14:textId="77777777" w:rsidR="00E50FEE" w:rsidRPr="00A2753F" w:rsidRDefault="00E50FEE" w:rsidP="00E50FEE">
      <w:pPr>
        <w:jc w:val="both"/>
        <w:rPr>
          <w:rFonts w:asciiTheme="majorBidi" w:hAnsiTheme="majorBidi" w:cstheme="majorBidi"/>
          <w:sz w:val="24"/>
          <w:szCs w:val="24"/>
        </w:rPr>
      </w:pPr>
    </w:p>
    <w:sectPr w:rsidR="00E50FEE" w:rsidRPr="00A2753F">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E346D" w14:textId="77777777" w:rsidR="00BD6FC1" w:rsidRDefault="00BD6FC1" w:rsidP="003865C9">
      <w:pPr>
        <w:spacing w:after="0" w:line="240" w:lineRule="auto"/>
      </w:pPr>
      <w:r>
        <w:separator/>
      </w:r>
    </w:p>
  </w:endnote>
  <w:endnote w:type="continuationSeparator" w:id="0">
    <w:p w14:paraId="22002A3A" w14:textId="77777777" w:rsidR="00BD6FC1" w:rsidRDefault="00BD6FC1" w:rsidP="00386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79210"/>
      <w:docPartObj>
        <w:docPartGallery w:val="Page Numbers (Bottom of Page)"/>
        <w:docPartUnique/>
      </w:docPartObj>
    </w:sdtPr>
    <w:sdtEndPr>
      <w:rPr>
        <w:noProof/>
      </w:rPr>
    </w:sdtEndPr>
    <w:sdtContent>
      <w:p w14:paraId="7A6B9A83" w14:textId="44B791DF" w:rsidR="003865C9" w:rsidRDefault="003865C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660644" w14:textId="77777777" w:rsidR="003865C9" w:rsidRDefault="00386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07954" w14:textId="77777777" w:rsidR="00BD6FC1" w:rsidRDefault="00BD6FC1" w:rsidP="003865C9">
      <w:pPr>
        <w:spacing w:after="0" w:line="240" w:lineRule="auto"/>
      </w:pPr>
      <w:r>
        <w:separator/>
      </w:r>
    </w:p>
  </w:footnote>
  <w:footnote w:type="continuationSeparator" w:id="0">
    <w:p w14:paraId="4BBC3649" w14:textId="77777777" w:rsidR="00BD6FC1" w:rsidRDefault="00BD6FC1" w:rsidP="003865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7D"/>
    <w:rsid w:val="00011A04"/>
    <w:rsid w:val="00015373"/>
    <w:rsid w:val="00055D9C"/>
    <w:rsid w:val="000A0E55"/>
    <w:rsid w:val="000B0CB7"/>
    <w:rsid w:val="000C0F30"/>
    <w:rsid w:val="000C5FA7"/>
    <w:rsid w:val="000E2914"/>
    <w:rsid w:val="000F381F"/>
    <w:rsid w:val="000F7CEB"/>
    <w:rsid w:val="00110910"/>
    <w:rsid w:val="00147768"/>
    <w:rsid w:val="001612D1"/>
    <w:rsid w:val="00161B9F"/>
    <w:rsid w:val="00190C8C"/>
    <w:rsid w:val="00193FAA"/>
    <w:rsid w:val="001968BA"/>
    <w:rsid w:val="001A31F2"/>
    <w:rsid w:val="001B2594"/>
    <w:rsid w:val="002075DB"/>
    <w:rsid w:val="00223DE4"/>
    <w:rsid w:val="002342BB"/>
    <w:rsid w:val="00265890"/>
    <w:rsid w:val="0028415B"/>
    <w:rsid w:val="002A3EE0"/>
    <w:rsid w:val="00320497"/>
    <w:rsid w:val="003865C9"/>
    <w:rsid w:val="003C3F25"/>
    <w:rsid w:val="003D722C"/>
    <w:rsid w:val="003E1100"/>
    <w:rsid w:val="004053D3"/>
    <w:rsid w:val="00414418"/>
    <w:rsid w:val="00424C12"/>
    <w:rsid w:val="00453F0D"/>
    <w:rsid w:val="004C15AC"/>
    <w:rsid w:val="004C3E75"/>
    <w:rsid w:val="004F7D2B"/>
    <w:rsid w:val="0054163F"/>
    <w:rsid w:val="0054399D"/>
    <w:rsid w:val="00555137"/>
    <w:rsid w:val="005828E6"/>
    <w:rsid w:val="00586C33"/>
    <w:rsid w:val="00587957"/>
    <w:rsid w:val="005A6D39"/>
    <w:rsid w:val="005C4CFE"/>
    <w:rsid w:val="005E2E5B"/>
    <w:rsid w:val="005F0C92"/>
    <w:rsid w:val="00611400"/>
    <w:rsid w:val="006312A2"/>
    <w:rsid w:val="00641CAD"/>
    <w:rsid w:val="00642BA4"/>
    <w:rsid w:val="00656B16"/>
    <w:rsid w:val="0065723C"/>
    <w:rsid w:val="00667765"/>
    <w:rsid w:val="00674523"/>
    <w:rsid w:val="006929EF"/>
    <w:rsid w:val="006B6532"/>
    <w:rsid w:val="006B7A81"/>
    <w:rsid w:val="0070654D"/>
    <w:rsid w:val="00720D1A"/>
    <w:rsid w:val="007337ED"/>
    <w:rsid w:val="007532E1"/>
    <w:rsid w:val="00767EE0"/>
    <w:rsid w:val="00771A7D"/>
    <w:rsid w:val="00796CD7"/>
    <w:rsid w:val="007E4832"/>
    <w:rsid w:val="007E6197"/>
    <w:rsid w:val="00811717"/>
    <w:rsid w:val="00813493"/>
    <w:rsid w:val="00821F1C"/>
    <w:rsid w:val="00847764"/>
    <w:rsid w:val="0086673F"/>
    <w:rsid w:val="00881A16"/>
    <w:rsid w:val="00885737"/>
    <w:rsid w:val="0088799D"/>
    <w:rsid w:val="008A57CF"/>
    <w:rsid w:val="008B00A9"/>
    <w:rsid w:val="008F095E"/>
    <w:rsid w:val="00927356"/>
    <w:rsid w:val="0093563C"/>
    <w:rsid w:val="00937631"/>
    <w:rsid w:val="00955C8D"/>
    <w:rsid w:val="00977E34"/>
    <w:rsid w:val="00981C96"/>
    <w:rsid w:val="009844D9"/>
    <w:rsid w:val="00997608"/>
    <w:rsid w:val="00A139EE"/>
    <w:rsid w:val="00A2753F"/>
    <w:rsid w:val="00AA36C3"/>
    <w:rsid w:val="00AB2F3A"/>
    <w:rsid w:val="00B01446"/>
    <w:rsid w:val="00B17CA9"/>
    <w:rsid w:val="00B241BB"/>
    <w:rsid w:val="00B34A31"/>
    <w:rsid w:val="00B46270"/>
    <w:rsid w:val="00B47C13"/>
    <w:rsid w:val="00B5066C"/>
    <w:rsid w:val="00B50E4A"/>
    <w:rsid w:val="00BA2883"/>
    <w:rsid w:val="00BC45CD"/>
    <w:rsid w:val="00BD6FC1"/>
    <w:rsid w:val="00BF533C"/>
    <w:rsid w:val="00C0044A"/>
    <w:rsid w:val="00C02A7D"/>
    <w:rsid w:val="00CC3B8B"/>
    <w:rsid w:val="00CD2B5C"/>
    <w:rsid w:val="00CD6DE2"/>
    <w:rsid w:val="00CF1B7D"/>
    <w:rsid w:val="00D40CF2"/>
    <w:rsid w:val="00D71F75"/>
    <w:rsid w:val="00DB5374"/>
    <w:rsid w:val="00DD6B42"/>
    <w:rsid w:val="00DE7F17"/>
    <w:rsid w:val="00E02AA7"/>
    <w:rsid w:val="00E05DC6"/>
    <w:rsid w:val="00E07296"/>
    <w:rsid w:val="00E50FEE"/>
    <w:rsid w:val="00E512D6"/>
    <w:rsid w:val="00E6326F"/>
    <w:rsid w:val="00E77A79"/>
    <w:rsid w:val="00E816A6"/>
    <w:rsid w:val="00E85F8F"/>
    <w:rsid w:val="00EE49DB"/>
    <w:rsid w:val="00EF06D8"/>
    <w:rsid w:val="00F11DB1"/>
    <w:rsid w:val="00F2383C"/>
    <w:rsid w:val="00F425C6"/>
    <w:rsid w:val="00F502C7"/>
    <w:rsid w:val="00F6422D"/>
    <w:rsid w:val="00F776ED"/>
    <w:rsid w:val="00F83836"/>
    <w:rsid w:val="00FA1AF1"/>
    <w:rsid w:val="00FC7223"/>
    <w:rsid w:val="00FD5D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0AD7B"/>
  <w15:chartTrackingRefBased/>
  <w15:docId w15:val="{9308986A-5E64-4F3D-92B5-903B7AC5B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5C9"/>
  </w:style>
  <w:style w:type="paragraph" w:styleId="Footer">
    <w:name w:val="footer"/>
    <w:basedOn w:val="Normal"/>
    <w:link w:val="FooterChar"/>
    <w:uiPriority w:val="99"/>
    <w:unhideWhenUsed/>
    <w:rsid w:val="00386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5C9"/>
  </w:style>
  <w:style w:type="character" w:styleId="Hyperlink">
    <w:name w:val="Hyperlink"/>
    <w:basedOn w:val="DefaultParagraphFont"/>
    <w:uiPriority w:val="99"/>
    <w:unhideWhenUsed/>
    <w:rsid w:val="00E6326F"/>
    <w:rPr>
      <w:color w:val="0563C1" w:themeColor="hyperlink"/>
      <w:u w:val="single"/>
    </w:rPr>
  </w:style>
  <w:style w:type="character" w:styleId="UnresolvedMention">
    <w:name w:val="Unresolved Mention"/>
    <w:basedOn w:val="DefaultParagraphFont"/>
    <w:uiPriority w:val="99"/>
    <w:semiHidden/>
    <w:unhideWhenUsed/>
    <w:rsid w:val="00E6326F"/>
    <w:rPr>
      <w:color w:val="605E5C"/>
      <w:shd w:val="clear" w:color="auto" w:fill="E1DFDD"/>
    </w:rPr>
  </w:style>
  <w:style w:type="table" w:styleId="TableGrid">
    <w:name w:val="Table Grid"/>
    <w:basedOn w:val="TableNormal"/>
    <w:uiPriority w:val="39"/>
    <w:rsid w:val="007065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1630">
      <w:bodyDiv w:val="1"/>
      <w:marLeft w:val="0"/>
      <w:marRight w:val="0"/>
      <w:marTop w:val="0"/>
      <w:marBottom w:val="0"/>
      <w:divBdr>
        <w:top w:val="none" w:sz="0" w:space="0" w:color="auto"/>
        <w:left w:val="none" w:sz="0" w:space="0" w:color="auto"/>
        <w:bottom w:val="none" w:sz="0" w:space="0" w:color="auto"/>
        <w:right w:val="none" w:sz="0" w:space="0" w:color="auto"/>
      </w:divBdr>
    </w:div>
    <w:div w:id="212010756">
      <w:bodyDiv w:val="1"/>
      <w:marLeft w:val="0"/>
      <w:marRight w:val="0"/>
      <w:marTop w:val="0"/>
      <w:marBottom w:val="0"/>
      <w:divBdr>
        <w:top w:val="none" w:sz="0" w:space="0" w:color="auto"/>
        <w:left w:val="none" w:sz="0" w:space="0" w:color="auto"/>
        <w:bottom w:val="none" w:sz="0" w:space="0" w:color="auto"/>
        <w:right w:val="none" w:sz="0" w:space="0" w:color="auto"/>
      </w:divBdr>
    </w:div>
    <w:div w:id="1269771586">
      <w:bodyDiv w:val="1"/>
      <w:marLeft w:val="0"/>
      <w:marRight w:val="0"/>
      <w:marTop w:val="0"/>
      <w:marBottom w:val="0"/>
      <w:divBdr>
        <w:top w:val="none" w:sz="0" w:space="0" w:color="auto"/>
        <w:left w:val="none" w:sz="0" w:space="0" w:color="auto"/>
        <w:bottom w:val="none" w:sz="0" w:space="0" w:color="auto"/>
        <w:right w:val="none" w:sz="0" w:space="0" w:color="auto"/>
      </w:divBdr>
    </w:div>
    <w:div w:id="199309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47CB9-C140-4A71-9DB9-016BFB47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6</Pages>
  <Words>12398</Words>
  <Characters>70672</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walaa shaltout</dc:creator>
  <cp:keywords/>
  <dc:description/>
  <cp:lastModifiedBy>Taylors TAYLOR</cp:lastModifiedBy>
  <cp:revision>46</cp:revision>
  <dcterms:created xsi:type="dcterms:W3CDTF">2024-08-19T14:04:00Z</dcterms:created>
  <dcterms:modified xsi:type="dcterms:W3CDTF">2025-05-17T14:00:00Z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872210a253e90a30402179e67eb6438e812cdb5507342053f783b8debbabc7a7</vt:lpwstr>
  </property>
  <property fmtid="{D5CDD505-2E9C-101B-9397-08002B2CF9AE}" pid="3" name="Mendeley Document_1">
    <vt:lpwstr>True</vt:lpwstr>
  </property>
  <property fmtid="{D5CDD505-2E9C-101B-9397-08002B2CF9AE}" pid="4" name="Mendeley Citation Style_1">
    <vt:lpwstr>http://www.zotero.org/styles/rsc-advances</vt:lpwstr>
  </property>
  <property fmtid="{D5CDD505-2E9C-101B-9397-08002B2CF9AE}" pid="5" name="Mendeley Unique User Id_1">
    <vt:lpwstr>f21e3309-caa7-341e-8bcd-42b9e79b4956</vt:lpwstr>
  </property>
  <property fmtid="{D5CDD505-2E9C-101B-9397-08002B2CF9AE}" pid="6" name="Mendeley Recent Style Id 0_1">
    <vt:lpwstr>http://www.zotero.org/styles/biomass-conversion-and-biorefinery</vt:lpwstr>
  </property>
  <property fmtid="{D5CDD505-2E9C-101B-9397-08002B2CF9AE}" pid="7" name="Mendeley Recent Style Name 0_1">
    <vt:lpwstr>Biomass Conversion and Biorefinery</vt:lpwstr>
  </property>
  <property fmtid="{D5CDD505-2E9C-101B-9397-08002B2CF9AE}" pid="8" name="Mendeley Recent Style Id 1_1">
    <vt:lpwstr>http://www.zotero.org/styles/carbohydrate-polymers</vt:lpwstr>
  </property>
  <property fmtid="{D5CDD505-2E9C-101B-9397-08002B2CF9AE}" pid="9" name="Mendeley Recent Style Name 1_1">
    <vt:lpwstr>Carbohydrate Polymers</vt:lpwstr>
  </property>
  <property fmtid="{D5CDD505-2E9C-101B-9397-08002B2CF9AE}" pid="10" name="Mendeley Recent Style Id 2_1">
    <vt:lpwstr>http://www.zotero.org/styles/chemical-science</vt:lpwstr>
  </property>
  <property fmtid="{D5CDD505-2E9C-101B-9397-08002B2CF9AE}" pid="11" name="Mendeley Recent Style Name 2_1">
    <vt:lpwstr>Chemical Science</vt:lpwstr>
  </property>
  <property fmtid="{D5CDD505-2E9C-101B-9397-08002B2CF9AE}" pid="12" name="Mendeley Recent Style Id 3_1">
    <vt:lpwstr>http://www.zotero.org/styles/environmental-science-and-pollution-research</vt:lpwstr>
  </property>
  <property fmtid="{D5CDD505-2E9C-101B-9397-08002B2CF9AE}" pid="13" name="Mendeley Recent Style Name 3_1">
    <vt:lpwstr>Environmental Science and Pollution Research</vt:lpwstr>
  </property>
  <property fmtid="{D5CDD505-2E9C-101B-9397-08002B2CF9AE}" pid="14" name="Mendeley Recent Style Id 4_1">
    <vt:lpwstr>http://www.zotero.org/styles/international-journal-of-biological-macromolecules</vt:lpwstr>
  </property>
  <property fmtid="{D5CDD505-2E9C-101B-9397-08002B2CF9AE}" pid="15" name="Mendeley Recent Style Name 4_1">
    <vt:lpwstr>International Journal of Biological Macromolecules</vt:lpwstr>
  </property>
  <property fmtid="{D5CDD505-2E9C-101B-9397-08002B2CF9AE}" pid="16" name="Mendeley Recent Style Id 5_1">
    <vt:lpwstr>http://www.zotero.org/styles/journal-of-materials-chemistry-a</vt:lpwstr>
  </property>
  <property fmtid="{D5CDD505-2E9C-101B-9397-08002B2CF9AE}" pid="17" name="Mendeley Recent Style Name 5_1">
    <vt:lpwstr>Journal of Materials Chemistry A</vt:lpwstr>
  </property>
  <property fmtid="{D5CDD505-2E9C-101B-9397-08002B2CF9AE}" pid="18" name="Mendeley Recent Style Id 6_1">
    <vt:lpwstr>http://www.zotero.org/styles/journal-of-the-taiwan-institute-of-chemical-engineers</vt:lpwstr>
  </property>
  <property fmtid="{D5CDD505-2E9C-101B-9397-08002B2CF9AE}" pid="19" name="Mendeley Recent Style Name 6_1">
    <vt:lpwstr>Journal of the Taiwan Institute of Chemical Engineers</vt:lpwstr>
  </property>
  <property fmtid="{D5CDD505-2E9C-101B-9397-08002B2CF9AE}" pid="20" name="Mendeley Recent Style Id 7_1">
    <vt:lpwstr>http://www.zotero.org/styles/materials-chemistry-and-physics</vt:lpwstr>
  </property>
  <property fmtid="{D5CDD505-2E9C-101B-9397-08002B2CF9AE}" pid="21" name="Mendeley Recent Style Name 7_1">
    <vt:lpwstr>Materials Chemistry and Physics</vt:lpwstr>
  </property>
  <property fmtid="{D5CDD505-2E9C-101B-9397-08002B2CF9AE}" pid="22" name="Mendeley Recent Style Id 8_1">
    <vt:lpwstr>http://www.zotero.org/styles/rsc-advances</vt:lpwstr>
  </property>
  <property fmtid="{D5CDD505-2E9C-101B-9397-08002B2CF9AE}" pid="23" name="Mendeley Recent Style Name 8_1">
    <vt:lpwstr>RSC Advances</vt:lpwstr>
  </property>
  <property fmtid="{D5CDD505-2E9C-101B-9397-08002B2CF9AE}" pid="24" name="Mendeley Recent Style Id 9_1">
    <vt:lpwstr>http://www.zotero.org/styles/science-of-the-total-environment</vt:lpwstr>
  </property>
  <property fmtid="{D5CDD505-2E9C-101B-9397-08002B2CF9AE}" pid="25" name="Mendeley Recent Style Name 9_1">
    <vt:lpwstr>Science of the Total Environment</vt:lpwstr>
  </property>
</Properties>
</file>