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D20" w:rsidRDefault="00493D20" w:rsidP="00493D20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Supplementary Figures</w:t>
      </w:r>
    </w:p>
    <w:p w:rsidR="00493D20" w:rsidRDefault="00493D20" w:rsidP="00493D20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</w:rPr>
      </w:pPr>
    </w:p>
    <w:p w:rsidR="00493D20" w:rsidRDefault="00493D20" w:rsidP="009E0311">
      <w:pPr>
        <w:autoSpaceDE w:val="0"/>
        <w:autoSpaceDN w:val="0"/>
        <w:adjustRightInd w:val="0"/>
        <w:rPr>
          <w:rFonts w:ascii="TimesNewRoman,Bold" w:hAnsi="TimesNewRoman,Bold" w:cs="TimesNewRoman,Bold"/>
          <w:bCs/>
        </w:rPr>
      </w:pPr>
      <w:r>
        <w:rPr>
          <w:rFonts w:ascii="TimesNewRoman,Bold" w:hAnsi="TimesNewRoman,Bold" w:cs="TimesNewRoman,Bold"/>
          <w:b/>
          <w:bCs/>
        </w:rPr>
        <w:t xml:space="preserve">Figure S1. </w:t>
      </w:r>
      <w:r>
        <w:rPr>
          <w:rFonts w:ascii="TimesNewRoman,Bold" w:hAnsi="TimesNewRoman,Bold" w:cs="TimesNewRoman,Bold"/>
          <w:bCs/>
        </w:rPr>
        <w:t>Design and fabrication of nanopatterned cardiosphere-derived cell patch</w:t>
      </w:r>
      <w:r w:rsidR="009E0311">
        <w:rPr>
          <w:rFonts w:ascii="TimesNewRoman,Bold" w:hAnsi="TimesNewRoman,Bold" w:cs="TimesNewRoman,Bold"/>
          <w:bCs/>
        </w:rPr>
        <w:t xml:space="preserve">. </w:t>
      </w:r>
      <w:r w:rsidR="009E0311" w:rsidRPr="009E0311">
        <w:rPr>
          <w:rFonts w:ascii="TimesNewRoman,Bold" w:hAnsi="TimesNewRoman,Bold" w:cs="TimesNewRoman,Bold"/>
          <w:bCs/>
        </w:rPr>
        <w:t>(A) Replica</w:t>
      </w:r>
      <w:r w:rsidR="009E0311">
        <w:rPr>
          <w:rFonts w:ascii="TimesNewRoman,Bold" w:hAnsi="TimesNewRoman,Bold" w:cs="TimesNewRoman,Bold"/>
          <w:bCs/>
        </w:rPr>
        <w:t xml:space="preserve"> </w:t>
      </w:r>
      <w:r w:rsidR="009E0311" w:rsidRPr="009E0311">
        <w:rPr>
          <w:rFonts w:ascii="TimesNewRoman,Bold" w:hAnsi="TimesNewRoman,Bold" w:cs="TimesNewRoman,Bold"/>
          <w:bCs/>
        </w:rPr>
        <w:t>molding procedure for large area (centimeters) fabrication of nanopatterned PEG scaffolds.</w:t>
      </w:r>
      <w:r w:rsidR="009E0311">
        <w:rPr>
          <w:rFonts w:ascii="TimesNewRoman,Bold" w:hAnsi="TimesNewRoman,Bold" w:cs="TimesNewRoman,Bold"/>
          <w:bCs/>
        </w:rPr>
        <w:t xml:space="preserve"> </w:t>
      </w:r>
      <w:r w:rsidR="009E0311" w:rsidRPr="009E0311">
        <w:rPr>
          <w:rFonts w:ascii="TimesNewRoman,Bold" w:hAnsi="TimesNewRoman,Bold" w:cs="TimesNewRoman,Bold"/>
          <w:bCs/>
        </w:rPr>
        <w:t>(B)</w:t>
      </w:r>
      <w:r w:rsidR="009E0311">
        <w:rPr>
          <w:rFonts w:ascii="TimesNewRoman,Bold" w:hAnsi="TimesNewRoman,Bold" w:cs="TimesNewRoman,Bold"/>
          <w:bCs/>
        </w:rPr>
        <w:t xml:space="preserve"> </w:t>
      </w:r>
      <w:r w:rsidR="009E0311" w:rsidRPr="009E0311">
        <w:rPr>
          <w:rFonts w:ascii="TimesNewRoman,Bold" w:hAnsi="TimesNewRoman,Bold" w:cs="TimesNewRoman,Bold"/>
          <w:bCs/>
        </w:rPr>
        <w:t>Cross-sectional SEM image of the ANFS. (C) SEM images of CDCs cultured on the ANFS for 7</w:t>
      </w:r>
      <w:r w:rsidR="009E0311">
        <w:rPr>
          <w:rFonts w:ascii="TimesNewRoman,Bold" w:hAnsi="TimesNewRoman,Bold" w:cs="TimesNewRoman,Bold"/>
          <w:bCs/>
        </w:rPr>
        <w:t xml:space="preserve"> </w:t>
      </w:r>
      <w:r w:rsidR="009E0311" w:rsidRPr="009E0311">
        <w:rPr>
          <w:rFonts w:ascii="TimesNewRoman,Bold" w:hAnsi="TimesNewRoman,Bold" w:cs="TimesNewRoman,Bold"/>
          <w:bCs/>
        </w:rPr>
        <w:t xml:space="preserve">days illustrating the confluent cell alignment, and formation of tight intercellular </w:t>
      </w:r>
      <w:proofErr w:type="spellStart"/>
      <w:r w:rsidR="009E0311">
        <w:rPr>
          <w:rFonts w:ascii="TimesNewRoman,Bold" w:hAnsi="TimesNewRoman,Bold" w:cs="TimesNewRoman,Bold"/>
          <w:bCs/>
        </w:rPr>
        <w:t>j</w:t>
      </w:r>
      <w:r w:rsidR="009E0311" w:rsidRPr="009E0311">
        <w:rPr>
          <w:rFonts w:ascii="TimesNewRoman,Bold" w:hAnsi="TimesNewRoman,Bold" w:cs="TimesNewRoman,Bold"/>
          <w:bCs/>
        </w:rPr>
        <w:t>unctional</w:t>
      </w:r>
      <w:proofErr w:type="spellEnd"/>
      <w:r w:rsidR="009E0311">
        <w:rPr>
          <w:rFonts w:ascii="TimesNewRoman,Bold" w:hAnsi="TimesNewRoman,Bold" w:cs="TimesNewRoman,Bold"/>
          <w:bCs/>
        </w:rPr>
        <w:t xml:space="preserve"> </w:t>
      </w:r>
      <w:r w:rsidR="009E0311" w:rsidRPr="009E0311">
        <w:rPr>
          <w:rFonts w:ascii="TimesNewRoman,Bold" w:hAnsi="TimesNewRoman,Bold" w:cs="TimesNewRoman,Bold"/>
          <w:bCs/>
        </w:rPr>
        <w:t xml:space="preserve">structures. Scale bar: 2 </w:t>
      </w:r>
      <w:r w:rsidR="009E0311">
        <w:rPr>
          <w:rFonts w:ascii="TimesNewRoman,Bold" w:hAnsi="TimesNewRoman,Bold" w:cs="TimesNewRoman,Bold"/>
          <w:bCs/>
        </w:rPr>
        <w:t>µm in (B); 50 µ</w:t>
      </w:r>
      <w:r w:rsidR="009E0311" w:rsidRPr="009E0311">
        <w:rPr>
          <w:rFonts w:ascii="TimesNewRoman,Bold" w:hAnsi="TimesNewRoman,Bold" w:cs="TimesNewRoman,Bold"/>
          <w:bCs/>
        </w:rPr>
        <w:t>m in (C).</w:t>
      </w:r>
    </w:p>
    <w:p w:rsidR="009E0311" w:rsidRDefault="009E0311" w:rsidP="00493D20">
      <w:pPr>
        <w:autoSpaceDE w:val="0"/>
        <w:autoSpaceDN w:val="0"/>
        <w:adjustRightInd w:val="0"/>
        <w:rPr>
          <w:rFonts w:ascii="TimesNewRoman,Bold" w:hAnsi="TimesNewRoman,Bold" w:cs="TimesNewRoman,Bold"/>
          <w:bCs/>
        </w:rPr>
      </w:pPr>
    </w:p>
    <w:p w:rsidR="009E0311" w:rsidRDefault="009E0311" w:rsidP="00493D20">
      <w:pPr>
        <w:autoSpaceDE w:val="0"/>
        <w:autoSpaceDN w:val="0"/>
        <w:adjustRightInd w:val="0"/>
        <w:rPr>
          <w:rFonts w:ascii="TimesNewRoman,Bold" w:hAnsi="TimesNewRoman,Bold" w:cs="TimesNewRoman,Bold"/>
          <w:bCs/>
        </w:rPr>
      </w:pPr>
    </w:p>
    <w:p w:rsidR="009E0311" w:rsidRPr="009E0311" w:rsidRDefault="00493D20" w:rsidP="009E0311">
      <w:pPr>
        <w:autoSpaceDE w:val="0"/>
        <w:autoSpaceDN w:val="0"/>
        <w:adjustRightInd w:val="0"/>
        <w:rPr>
          <w:rFonts w:ascii="TimesNewRoman,Bold" w:hAnsi="TimesNewRoman,Bold" w:cs="TimesNewRoman,Bold"/>
          <w:bCs/>
        </w:rPr>
      </w:pPr>
      <w:r w:rsidRPr="00D139CE">
        <w:rPr>
          <w:rFonts w:ascii="TimesNewRoman,Bold" w:hAnsi="TimesNewRoman,Bold" w:cs="TimesNewRoman,Bold"/>
          <w:b/>
          <w:bCs/>
        </w:rPr>
        <w:t>Figure S2.</w:t>
      </w:r>
      <w:r>
        <w:rPr>
          <w:rFonts w:ascii="TimesNewRoman,Bold" w:hAnsi="TimesNewRoman,Bold" w:cs="TimesNewRoman,Bold"/>
          <w:bCs/>
        </w:rPr>
        <w:t xml:space="preserve"> Cardiomyogenesis of CDCs promoted by ANFS</w:t>
      </w:r>
      <w:r w:rsidR="009E0311">
        <w:rPr>
          <w:rFonts w:ascii="TimesNewRoman,Bold" w:hAnsi="TimesNewRoman,Bold" w:cs="TimesNewRoman,Bold"/>
          <w:bCs/>
        </w:rPr>
        <w:t xml:space="preserve">. </w:t>
      </w:r>
      <w:proofErr w:type="gramStart"/>
      <w:r w:rsidR="009E0311" w:rsidRPr="009E0311">
        <w:rPr>
          <w:rFonts w:ascii="TimesNewRoman,Bold" w:hAnsi="TimesNewRoman,Bold" w:cs="TimesNewRoman,Bold"/>
          <w:bCs/>
        </w:rPr>
        <w:t>Cardiomyogenesis of CDCs on (A, B) ANFS vs. (C) the flat substratum.</w:t>
      </w:r>
      <w:proofErr w:type="gramEnd"/>
      <w:r w:rsidR="009E0311" w:rsidRPr="009E0311">
        <w:rPr>
          <w:rFonts w:ascii="TimesNewRoman,Bold" w:hAnsi="TimesNewRoman,Bold" w:cs="TimesNewRoman,Bold"/>
          <w:bCs/>
        </w:rPr>
        <w:t xml:space="preserve"> (A) </w:t>
      </w:r>
      <w:proofErr w:type="gramStart"/>
      <w:r w:rsidR="009E0311" w:rsidRPr="009E0311">
        <w:rPr>
          <w:rFonts w:ascii="TimesNewRoman,Bold" w:hAnsi="TimesNewRoman,Bold" w:cs="TimesNewRoman,Bold"/>
          <w:bCs/>
        </w:rPr>
        <w:t>and</w:t>
      </w:r>
      <w:proofErr w:type="gramEnd"/>
      <w:r w:rsidR="009E0311" w:rsidRPr="009E0311">
        <w:rPr>
          <w:rFonts w:ascii="TimesNewRoman,Bold" w:hAnsi="TimesNewRoman,Bold" w:cs="TimesNewRoman,Bold"/>
          <w:bCs/>
        </w:rPr>
        <w:t xml:space="preserve"> (B)</w:t>
      </w:r>
      <w:r w:rsidR="009E0311">
        <w:rPr>
          <w:rFonts w:ascii="TimesNewRoman,Bold" w:hAnsi="TimesNewRoman,Bold" w:cs="TimesNewRoman,Bold"/>
          <w:bCs/>
        </w:rPr>
        <w:t xml:space="preserve"> </w:t>
      </w:r>
      <w:r w:rsidR="009E0311" w:rsidRPr="009E0311">
        <w:rPr>
          <w:rFonts w:ascii="TimesNewRoman,Bold" w:hAnsi="TimesNewRoman,Bold" w:cs="TimesNewRoman,Bold"/>
          <w:bCs/>
        </w:rPr>
        <w:t>correspond to the experiment shown in Fig. 1E, at higher magnification and showing the</w:t>
      </w:r>
    </w:p>
    <w:p w:rsidR="00493D20" w:rsidRDefault="009E0311" w:rsidP="009E0311">
      <w:pPr>
        <w:autoSpaceDE w:val="0"/>
        <w:autoSpaceDN w:val="0"/>
        <w:adjustRightInd w:val="0"/>
        <w:rPr>
          <w:rFonts w:ascii="TimesNewRoman,Bold" w:hAnsi="TimesNewRoman,Bold" w:cs="TimesNewRoman,Bold"/>
          <w:bCs/>
        </w:rPr>
      </w:pPr>
      <w:proofErr w:type="gramStart"/>
      <w:r w:rsidRPr="009E0311">
        <w:rPr>
          <w:rFonts w:ascii="TimesNewRoman,Bold" w:hAnsi="TimesNewRoman,Bold" w:cs="TimesNewRoman,Bold"/>
          <w:bCs/>
        </w:rPr>
        <w:t>corresponding</w:t>
      </w:r>
      <w:proofErr w:type="gramEnd"/>
      <w:r w:rsidRPr="009E0311">
        <w:rPr>
          <w:rFonts w:ascii="TimesNewRoman,Bold" w:hAnsi="TimesNewRoman,Bold" w:cs="TimesNewRoman,Bold"/>
          <w:bCs/>
        </w:rPr>
        <w:t xml:space="preserve"> phase contrast image revealing the underlying nano-structured </w:t>
      </w:r>
      <w:r>
        <w:rPr>
          <w:rFonts w:ascii="TimesNewRoman,Bold" w:hAnsi="TimesNewRoman,Bold" w:cs="TimesNewRoman,Bold"/>
          <w:bCs/>
        </w:rPr>
        <w:t xml:space="preserve"> s</w:t>
      </w:r>
      <w:r w:rsidRPr="009E0311">
        <w:rPr>
          <w:rFonts w:ascii="TimesNewRoman,Bold" w:hAnsi="TimesNewRoman,Bold" w:cs="TimesNewRoman,Bold"/>
          <w:bCs/>
        </w:rPr>
        <w:t>ubstratum; (C) The</w:t>
      </w:r>
      <w:r>
        <w:rPr>
          <w:rFonts w:ascii="TimesNewRoman,Bold" w:hAnsi="TimesNewRoman,Bold" w:cs="TimesNewRoman,Bold"/>
          <w:bCs/>
        </w:rPr>
        <w:t xml:space="preserve"> </w:t>
      </w:r>
      <w:r w:rsidRPr="009E0311">
        <w:rPr>
          <w:rFonts w:ascii="TimesNewRoman,Bold" w:hAnsi="TimesNewRoman,Bold" w:cs="TimesNewRoman,Bold"/>
          <w:bCs/>
        </w:rPr>
        <w:t>control experiment, with CDCs cultured on the flat substratum for 14 days</w:t>
      </w:r>
      <w:r>
        <w:rPr>
          <w:rFonts w:ascii="TimesNewRoman,Bold" w:hAnsi="TimesNewRoman,Bold" w:cs="TimesNewRoman,Bold"/>
          <w:bCs/>
        </w:rPr>
        <w:t>. Scale bar: 20 µ</w:t>
      </w:r>
      <w:r w:rsidRPr="009E0311">
        <w:rPr>
          <w:rFonts w:ascii="TimesNewRoman,Bold" w:hAnsi="TimesNewRoman,Bold" w:cs="TimesNewRoman,Bold"/>
          <w:bCs/>
        </w:rPr>
        <w:t>m in (A)</w:t>
      </w:r>
      <w:r>
        <w:rPr>
          <w:rFonts w:ascii="TimesNewRoman,Bold" w:hAnsi="TimesNewRoman,Bold" w:cs="TimesNewRoman,Bold"/>
          <w:bCs/>
        </w:rPr>
        <w:t xml:space="preserve"> and (B); 50 µ</w:t>
      </w:r>
      <w:r w:rsidRPr="009E0311">
        <w:rPr>
          <w:rFonts w:ascii="TimesNewRoman,Bold" w:hAnsi="TimesNewRoman,Bold" w:cs="TimesNewRoman,Bold"/>
          <w:bCs/>
        </w:rPr>
        <w:t>m in (C).</w:t>
      </w:r>
    </w:p>
    <w:p w:rsidR="009E0311" w:rsidRDefault="009E0311" w:rsidP="00493D20">
      <w:pPr>
        <w:autoSpaceDE w:val="0"/>
        <w:autoSpaceDN w:val="0"/>
        <w:adjustRightInd w:val="0"/>
        <w:rPr>
          <w:rFonts w:ascii="TimesNewRoman,Bold" w:hAnsi="TimesNewRoman,Bold" w:cs="TimesNewRoman,Bold"/>
          <w:bCs/>
        </w:rPr>
      </w:pPr>
    </w:p>
    <w:p w:rsidR="009E0311" w:rsidRPr="009E0311" w:rsidRDefault="00493D20" w:rsidP="009E0311">
      <w:pPr>
        <w:autoSpaceDE w:val="0"/>
        <w:autoSpaceDN w:val="0"/>
        <w:adjustRightInd w:val="0"/>
        <w:rPr>
          <w:rFonts w:ascii="TimesNewRoman,Bold" w:hAnsi="TimesNewRoman,Bold" w:cs="TimesNewRoman,Bold"/>
          <w:bCs/>
        </w:rPr>
      </w:pPr>
      <w:r w:rsidRPr="00D139CE">
        <w:rPr>
          <w:rFonts w:ascii="TimesNewRoman,Bold" w:hAnsi="TimesNewRoman,Bold" w:cs="TimesNewRoman,Bold"/>
          <w:b/>
          <w:bCs/>
        </w:rPr>
        <w:t>Figure S3.</w:t>
      </w:r>
      <w:r>
        <w:rPr>
          <w:rFonts w:ascii="TimesNewRoman,Bold" w:hAnsi="TimesNewRoman,Bold" w:cs="TimesNewRoman,Bold"/>
          <w:bCs/>
        </w:rPr>
        <w:t xml:space="preserve"> Co-culture of CDCs with neo-natal rat ventricular myocytes on ANFS </w:t>
      </w:r>
      <w:proofErr w:type="gramStart"/>
      <w:r>
        <w:rPr>
          <w:rFonts w:ascii="TimesNewRoman,Bold" w:hAnsi="TimesNewRoman,Bold" w:cs="TimesNewRoman,Bold"/>
          <w:bCs/>
        </w:rPr>
        <w:t>promote</w:t>
      </w:r>
      <w:proofErr w:type="gramEnd"/>
      <w:r>
        <w:rPr>
          <w:rFonts w:ascii="TimesNewRoman,Bold" w:hAnsi="TimesNewRoman,Bold" w:cs="TimesNewRoman,Bold"/>
          <w:bCs/>
        </w:rPr>
        <w:t xml:space="preserve"> cardiomyogenesis</w:t>
      </w:r>
      <w:r w:rsidR="009E0311">
        <w:rPr>
          <w:rFonts w:ascii="TimesNewRoman,Bold" w:hAnsi="TimesNewRoman,Bold" w:cs="TimesNewRoman,Bold"/>
          <w:bCs/>
        </w:rPr>
        <w:t xml:space="preserve">. </w:t>
      </w:r>
      <w:r w:rsidR="009E0311" w:rsidRPr="009E0311">
        <w:rPr>
          <w:rFonts w:ascii="TimesNewRoman,Bold" w:hAnsi="TimesNewRoman,Bold" w:cs="TimesNewRoman,Bold"/>
          <w:bCs/>
        </w:rPr>
        <w:t>NCX-GFP expression measured using flow cytometry in DiI labeled CDCs following</w:t>
      </w:r>
      <w:r w:rsidR="009E0311">
        <w:rPr>
          <w:rFonts w:ascii="TimesNewRoman,Bold" w:hAnsi="TimesNewRoman,Bold" w:cs="TimesNewRoman,Bold"/>
          <w:bCs/>
        </w:rPr>
        <w:t xml:space="preserve"> </w:t>
      </w:r>
      <w:r w:rsidR="009E0311" w:rsidRPr="009E0311">
        <w:rPr>
          <w:rFonts w:ascii="TimesNewRoman,Bold" w:hAnsi="TimesNewRoman,Bold" w:cs="TimesNewRoman,Bold"/>
          <w:bCs/>
        </w:rPr>
        <w:t>14 days co-culture with NRVMs (also see Fig. 3E). (A) Representative example of NCX-GFP</w:t>
      </w:r>
      <w:r w:rsidR="009E0311">
        <w:rPr>
          <w:rFonts w:ascii="TimesNewRoman,Bold" w:hAnsi="TimesNewRoman,Bold" w:cs="TimesNewRoman,Bold"/>
          <w:bCs/>
        </w:rPr>
        <w:t xml:space="preserve"> </w:t>
      </w:r>
      <w:r w:rsidR="009E0311" w:rsidRPr="009E0311">
        <w:rPr>
          <w:rFonts w:ascii="TimesNewRoman,Bold" w:hAnsi="TimesNewRoman,Bold" w:cs="TimesNewRoman,Bold"/>
          <w:bCs/>
        </w:rPr>
        <w:t xml:space="preserve">expression in DiI labeled CDCs after 14 days of co-culture with NRVMs. CDCs were </w:t>
      </w:r>
      <w:r w:rsidR="009E0311">
        <w:rPr>
          <w:rFonts w:ascii="TimesNewRoman,Bold" w:hAnsi="TimesNewRoman,Bold" w:cs="TimesNewRoman,Bold"/>
          <w:bCs/>
        </w:rPr>
        <w:t>l</w:t>
      </w:r>
      <w:r w:rsidR="009E0311" w:rsidRPr="009E0311">
        <w:rPr>
          <w:rFonts w:ascii="TimesNewRoman,Bold" w:hAnsi="TimesNewRoman,Bold" w:cs="TimesNewRoman,Bold"/>
          <w:bCs/>
        </w:rPr>
        <w:t>entivirally</w:t>
      </w:r>
      <w:r w:rsidR="009E0311">
        <w:rPr>
          <w:rFonts w:ascii="TimesNewRoman,Bold" w:hAnsi="TimesNewRoman,Bold" w:cs="TimesNewRoman,Bold"/>
          <w:bCs/>
        </w:rPr>
        <w:t xml:space="preserve"> </w:t>
      </w:r>
      <w:r w:rsidR="009E0311" w:rsidRPr="009E0311">
        <w:rPr>
          <w:rFonts w:ascii="TimesNewRoman,Bold" w:hAnsi="TimesNewRoman,Bold" w:cs="TimesNewRoman,Bold"/>
          <w:bCs/>
        </w:rPr>
        <w:t>transduced with NCX-GFP, and labeled with DiI and co-cultured with NRVMs on the flat</w:t>
      </w:r>
      <w:r w:rsidR="009E0311">
        <w:rPr>
          <w:rFonts w:ascii="TimesNewRoman,Bold" w:hAnsi="TimesNewRoman,Bold" w:cs="TimesNewRoman,Bold"/>
          <w:bCs/>
        </w:rPr>
        <w:t xml:space="preserve"> </w:t>
      </w:r>
      <w:r w:rsidR="009E0311" w:rsidRPr="009E0311">
        <w:rPr>
          <w:rFonts w:ascii="TimesNewRoman,Bold" w:hAnsi="TimesNewRoman,Bold" w:cs="TimesNewRoman,Bold"/>
          <w:bCs/>
        </w:rPr>
        <w:t>substratum and ANFS in a 1:10 ratio. DiI positive CDCs were gated using APC filter (x-axis) and</w:t>
      </w:r>
      <w:r w:rsidR="009E0311">
        <w:rPr>
          <w:rFonts w:ascii="TimesNewRoman,Bold" w:hAnsi="TimesNewRoman,Bold" w:cs="TimesNewRoman,Bold"/>
          <w:bCs/>
        </w:rPr>
        <w:t xml:space="preserve"> </w:t>
      </w:r>
      <w:r w:rsidR="009E0311" w:rsidRPr="009E0311">
        <w:rPr>
          <w:rFonts w:ascii="TimesNewRoman,Bold" w:hAnsi="TimesNewRoman,Bold" w:cs="TimesNewRoman,Bold"/>
          <w:bCs/>
        </w:rPr>
        <w:t>NCX-GFP expression was measured using FITC filter (y-axis). Results were normalized against</w:t>
      </w:r>
      <w:r w:rsidR="009E0311">
        <w:rPr>
          <w:rFonts w:ascii="TimesNewRoman,Bold" w:hAnsi="TimesNewRoman,Bold" w:cs="TimesNewRoman,Bold"/>
          <w:bCs/>
        </w:rPr>
        <w:t xml:space="preserve"> </w:t>
      </w:r>
      <w:r w:rsidR="009E0311" w:rsidRPr="009E0311">
        <w:rPr>
          <w:rFonts w:ascii="TimesNewRoman,Bold" w:hAnsi="TimesNewRoman,Bold" w:cs="TimesNewRoman,Bold"/>
          <w:bCs/>
        </w:rPr>
        <w:t>NCX-GFP transduced CDCs on day 1. In this analysis the ‘Probability distribution’ mode was used</w:t>
      </w:r>
      <w:r w:rsidR="009E0311">
        <w:rPr>
          <w:rFonts w:ascii="TimesNewRoman,Bold" w:hAnsi="TimesNewRoman,Bold" w:cs="TimesNewRoman,Bold"/>
          <w:bCs/>
        </w:rPr>
        <w:t xml:space="preserve"> </w:t>
      </w:r>
      <w:r w:rsidR="009E0311" w:rsidRPr="009E0311">
        <w:rPr>
          <w:rFonts w:ascii="TimesNewRoman,Bold" w:hAnsi="TimesNewRoman,Bold" w:cs="TimesNewRoman,Bold"/>
          <w:bCs/>
        </w:rPr>
        <w:t xml:space="preserve">to evaluate the fraction of NCX-GFP expressing CDCs, labeled with DiI on the flat </w:t>
      </w:r>
      <w:r w:rsidR="009E0311">
        <w:rPr>
          <w:rFonts w:ascii="TimesNewRoman,Bold" w:hAnsi="TimesNewRoman,Bold" w:cs="TimesNewRoman,Bold"/>
          <w:bCs/>
        </w:rPr>
        <w:t>s</w:t>
      </w:r>
      <w:r w:rsidR="009E0311" w:rsidRPr="009E0311">
        <w:rPr>
          <w:rFonts w:ascii="TimesNewRoman,Bold" w:hAnsi="TimesNewRoman,Bold" w:cs="TimesNewRoman,Bold"/>
          <w:bCs/>
        </w:rPr>
        <w:t>ubstratum in</w:t>
      </w:r>
      <w:r w:rsidR="009E0311">
        <w:rPr>
          <w:rFonts w:ascii="TimesNewRoman,Bold" w:hAnsi="TimesNewRoman,Bold" w:cs="TimesNewRoman,Bold"/>
          <w:bCs/>
        </w:rPr>
        <w:t xml:space="preserve"> </w:t>
      </w:r>
      <w:r w:rsidR="009E0311" w:rsidRPr="009E0311">
        <w:rPr>
          <w:rFonts w:ascii="TimesNewRoman,Bold" w:hAnsi="TimesNewRoman,Bold" w:cs="TimesNewRoman,Bold"/>
          <w:bCs/>
        </w:rPr>
        <w:t>co-culture with NRVMs on (B) day 1 and (C) day 14, and (D) ANFS in co-culture with NRVMs on</w:t>
      </w:r>
      <w:r w:rsidR="009E0311">
        <w:rPr>
          <w:rFonts w:ascii="TimesNewRoman,Bold" w:hAnsi="TimesNewRoman,Bold" w:cs="TimesNewRoman,Bold"/>
          <w:bCs/>
        </w:rPr>
        <w:t xml:space="preserve"> </w:t>
      </w:r>
      <w:r w:rsidR="009E0311" w:rsidRPr="009E0311">
        <w:rPr>
          <w:rFonts w:ascii="TimesNewRoman,Bold" w:hAnsi="TimesNewRoman,Bold" w:cs="TimesNewRoman,Bold"/>
          <w:bCs/>
        </w:rPr>
        <w:t>day 14. Horizontal line represents normalization with GFP expression at day1. Y-axis represents</w:t>
      </w:r>
      <w:r w:rsidR="009E0311">
        <w:rPr>
          <w:rFonts w:ascii="TimesNewRoman,Bold" w:hAnsi="TimesNewRoman,Bold" w:cs="TimesNewRoman,Bold"/>
          <w:bCs/>
        </w:rPr>
        <w:t xml:space="preserve"> </w:t>
      </w:r>
      <w:r w:rsidR="009E0311" w:rsidRPr="009E0311">
        <w:rPr>
          <w:rFonts w:ascii="TimesNewRoman,Bold" w:hAnsi="TimesNewRoman,Bold" w:cs="TimesNewRoman,Bold"/>
          <w:bCs/>
        </w:rPr>
        <w:t>NCX-GFP expression level, and X-axis represents DiI staining intensity.</w:t>
      </w:r>
    </w:p>
    <w:p w:rsidR="009E0311" w:rsidRPr="009E0311" w:rsidRDefault="009E0311" w:rsidP="009E0311">
      <w:pPr>
        <w:autoSpaceDE w:val="0"/>
        <w:autoSpaceDN w:val="0"/>
        <w:adjustRightInd w:val="0"/>
        <w:rPr>
          <w:rFonts w:ascii="TimesNewRoman,Bold" w:hAnsi="TimesNewRoman,Bold" w:cs="TimesNewRoman,Bold"/>
          <w:bCs/>
        </w:rPr>
      </w:pPr>
    </w:p>
    <w:p w:rsidR="00493D20" w:rsidRDefault="00493D20" w:rsidP="00493D20">
      <w:pPr>
        <w:autoSpaceDE w:val="0"/>
        <w:autoSpaceDN w:val="0"/>
        <w:adjustRightInd w:val="0"/>
        <w:rPr>
          <w:rFonts w:ascii="TimesNewRoman,Bold" w:hAnsi="TimesNewRoman,Bold" w:cs="TimesNewRoman,Bold"/>
          <w:bCs/>
        </w:rPr>
      </w:pPr>
    </w:p>
    <w:p w:rsidR="00493D20" w:rsidRDefault="00493D20" w:rsidP="00493D20">
      <w:pPr>
        <w:autoSpaceDE w:val="0"/>
        <w:autoSpaceDN w:val="0"/>
        <w:adjustRightInd w:val="0"/>
        <w:rPr>
          <w:rFonts w:ascii="TimesNewRoman,Bold" w:hAnsi="TimesNewRoman,Bold" w:cs="TimesNewRoman,Bold"/>
          <w:bCs/>
        </w:rPr>
      </w:pPr>
      <w:r w:rsidRPr="00D139CE">
        <w:rPr>
          <w:rFonts w:ascii="TimesNewRoman,Bold" w:hAnsi="TimesNewRoman,Bold" w:cs="TimesNewRoman,Bold"/>
          <w:b/>
          <w:bCs/>
        </w:rPr>
        <w:t>Figure S4.</w:t>
      </w:r>
      <w:r>
        <w:rPr>
          <w:rFonts w:ascii="TimesNewRoman,Bold" w:hAnsi="TimesNewRoman,Bold" w:cs="TimesNewRoman,Bold"/>
          <w:bCs/>
        </w:rPr>
        <w:t xml:space="preserve"> </w:t>
      </w:r>
      <w:r w:rsidR="009E0311">
        <w:rPr>
          <w:rFonts w:ascii="TimesNewRoman,Bold" w:hAnsi="TimesNewRoman,Bold" w:cs="TimesNewRoman,Bold"/>
          <w:bCs/>
        </w:rPr>
        <w:t>Statistical</w:t>
      </w:r>
      <w:r>
        <w:rPr>
          <w:rFonts w:ascii="TimesNewRoman,Bold" w:hAnsi="TimesNewRoman,Bold" w:cs="TimesNewRoman,Bold"/>
          <w:bCs/>
        </w:rPr>
        <w:t xml:space="preserve"> analysis of co-culture of CDCs with neo-natal rat ventricular myocytes on ANFS</w:t>
      </w:r>
      <w:r w:rsidR="009E0311">
        <w:rPr>
          <w:rFonts w:ascii="TimesNewRoman,Bold" w:hAnsi="TimesNewRoman,Bold" w:cs="TimesNewRoman,Bold"/>
          <w:bCs/>
        </w:rPr>
        <w:t xml:space="preserve"> (see Fig. S3). </w:t>
      </w:r>
    </w:p>
    <w:p w:rsidR="00493D20" w:rsidRDefault="00493D20" w:rsidP="00493D20">
      <w:pPr>
        <w:autoSpaceDE w:val="0"/>
        <w:autoSpaceDN w:val="0"/>
        <w:adjustRightInd w:val="0"/>
        <w:rPr>
          <w:rFonts w:ascii="TimesNewRoman,Bold" w:hAnsi="TimesNewRoman,Bold" w:cs="TimesNewRoman,Bold"/>
          <w:bCs/>
        </w:rPr>
      </w:pPr>
    </w:p>
    <w:p w:rsidR="009E0311" w:rsidRDefault="009E0311" w:rsidP="00493D20">
      <w:pPr>
        <w:autoSpaceDE w:val="0"/>
        <w:autoSpaceDN w:val="0"/>
        <w:adjustRightInd w:val="0"/>
        <w:rPr>
          <w:rFonts w:ascii="TimesNewRoman,Bold" w:hAnsi="TimesNewRoman,Bold" w:cs="TimesNewRoman,Bold"/>
          <w:bCs/>
        </w:rPr>
      </w:pPr>
    </w:p>
    <w:p w:rsidR="009E0311" w:rsidRDefault="009E0311" w:rsidP="00493D20">
      <w:pPr>
        <w:autoSpaceDE w:val="0"/>
        <w:autoSpaceDN w:val="0"/>
        <w:adjustRightInd w:val="0"/>
        <w:rPr>
          <w:rFonts w:ascii="TimesNewRoman,Bold" w:hAnsi="TimesNewRoman,Bold" w:cs="TimesNewRoman,Bold"/>
          <w:bCs/>
        </w:rPr>
      </w:pPr>
    </w:p>
    <w:p w:rsidR="00493D20" w:rsidRPr="00D139CE" w:rsidRDefault="00493D20" w:rsidP="00493D20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</w:rPr>
      </w:pPr>
      <w:r w:rsidRPr="00D139CE">
        <w:rPr>
          <w:rFonts w:ascii="TimesNewRoman,Bold" w:hAnsi="TimesNewRoman,Bold" w:cs="TimesNewRoman,Bold"/>
          <w:b/>
          <w:bCs/>
        </w:rPr>
        <w:t>Supplementary Movie</w:t>
      </w:r>
    </w:p>
    <w:p w:rsidR="00493D20" w:rsidRPr="00D139CE" w:rsidRDefault="00493D20" w:rsidP="00493D20">
      <w:pPr>
        <w:autoSpaceDE w:val="0"/>
        <w:autoSpaceDN w:val="0"/>
        <w:adjustRightInd w:val="0"/>
        <w:rPr>
          <w:b/>
        </w:rPr>
      </w:pPr>
      <w:proofErr w:type="gramStart"/>
      <w:r w:rsidRPr="00D139CE">
        <w:rPr>
          <w:rFonts w:ascii="TimesNewRoman,Bold" w:hAnsi="TimesNewRoman,Bold" w:cs="TimesNewRoman,Bold"/>
          <w:b/>
          <w:bCs/>
        </w:rPr>
        <w:t>Movie S1.</w:t>
      </w:r>
      <w:proofErr w:type="gramEnd"/>
      <w:r>
        <w:rPr>
          <w:rFonts w:ascii="TimesNewRoman,Bold" w:hAnsi="TimesNewRoman,Bold" w:cs="TimesNewRoman,Bold"/>
          <w:bCs/>
        </w:rPr>
        <w:t xml:space="preserve"> Live cell movie showing polarization and directional migration of individual CDCs along the orientation of the ANFS. </w:t>
      </w:r>
    </w:p>
    <w:p w:rsidR="006914FB" w:rsidRDefault="00C50F60">
      <w:r>
        <w:rPr>
          <w:rFonts w:ascii="TimesNewRoman,Bold" w:hAnsi="TimesNewRoman,Bold" w:cs="TimesNewRoman,Bold"/>
          <w:b/>
          <w:bCs/>
          <w:noProof/>
          <w:lang w:val="en-GB" w:eastAsia="en-GB"/>
        </w:rPr>
        <w:lastRenderedPageBreak/>
        <w:drawing>
          <wp:inline distT="0" distB="0" distL="0" distR="0">
            <wp:extent cx="5939790" cy="7917180"/>
            <wp:effectExtent l="19050" t="0" r="3810" b="0"/>
            <wp:docPr id="2" name="Picture 1" descr="\\rsc\Data\Shares\WamDocuments\Journals\IB\C2IB20067H\ForEditing\ESI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sc\Data\Shares\WamDocuments\Journals\IB\C2IB20067H\ForEditing\ESI\Figure S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F60" w:rsidRDefault="00C50F60"/>
    <w:p w:rsidR="00C50F60" w:rsidRDefault="00C50F60">
      <w:r>
        <w:rPr>
          <w:noProof/>
          <w:lang w:val="en-GB" w:eastAsia="en-GB"/>
        </w:rPr>
        <w:lastRenderedPageBreak/>
        <w:drawing>
          <wp:inline distT="0" distB="0" distL="0" distR="0">
            <wp:extent cx="5939790" cy="7917180"/>
            <wp:effectExtent l="19050" t="0" r="3810" b="0"/>
            <wp:docPr id="3" name="Picture 2" descr="\\rsc\Data\Shares\WamDocuments\Journals\IB\C2IB20067H\ForEditing\ESI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sc\Data\Shares\WamDocuments\Journals\IB\C2IB20067H\ForEditing\ESI\Figure S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F60" w:rsidRDefault="00C50F60"/>
    <w:p w:rsidR="00C50F60" w:rsidRDefault="00C50F60">
      <w:r>
        <w:rPr>
          <w:noProof/>
          <w:lang w:val="en-GB" w:eastAsia="en-GB"/>
        </w:rPr>
        <w:lastRenderedPageBreak/>
        <w:drawing>
          <wp:inline distT="0" distB="0" distL="0" distR="0">
            <wp:extent cx="5939790" cy="7917180"/>
            <wp:effectExtent l="19050" t="0" r="3810" b="0"/>
            <wp:docPr id="4" name="Picture 3" descr="\\rsc\Data\Shares\WamDocuments\Journals\IB\C2IB20067H\ForEditing\ESI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sc\Data\Shares\WamDocuments\Journals\IB\C2IB20067H\ForEditing\ESI\Figure S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F60" w:rsidRDefault="00C50F60"/>
    <w:p w:rsidR="00C50F60" w:rsidRDefault="00C50F60">
      <w:r>
        <w:rPr>
          <w:noProof/>
          <w:lang w:val="en-GB" w:eastAsia="en-GB"/>
        </w:rPr>
        <w:lastRenderedPageBreak/>
        <w:drawing>
          <wp:inline distT="0" distB="0" distL="0" distR="0">
            <wp:extent cx="5939790" cy="7917180"/>
            <wp:effectExtent l="19050" t="0" r="3810" b="0"/>
            <wp:docPr id="5" name="Picture 4" descr="\\rsc\Data\Shares\WamDocuments\Journals\IB\C2IB20067H\ForEditing\ESI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sc\Data\Shares\WamDocuments\Journals\IB\C2IB20067H\ForEditing\ESI\Figure S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F60" w:rsidSect="00EB13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20"/>
  <w:characterSpacingControl w:val="doNotCompress"/>
  <w:compat/>
  <w:rsids>
    <w:rsidRoot w:val="00493D20"/>
    <w:rsid w:val="00493D20"/>
    <w:rsid w:val="00505D94"/>
    <w:rsid w:val="006600C0"/>
    <w:rsid w:val="00795841"/>
    <w:rsid w:val="009E0311"/>
    <w:rsid w:val="00C50F60"/>
    <w:rsid w:val="00EB1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D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0F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D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microsoft.com/office/2007/relationships/stylesWithEffects" Target="stylesWithEffects.xm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</dc:creator>
  <cp:lastModifiedBy>Alicia Parker</cp:lastModifiedBy>
  <cp:revision>2</cp:revision>
  <dcterms:created xsi:type="dcterms:W3CDTF">2012-06-28T02:34:00Z</dcterms:created>
  <dcterms:modified xsi:type="dcterms:W3CDTF">2012-08-02T07:30:00Z</dcterms:modified>
</cp:coreProperties>
</file>