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emf" ContentType="image/x-emf"/>
  <Default Extension="jpeg" ContentType="image/jpeg"/>
  <Default Extension="xml" ContentType="application/xml"/>
  <Default Extension="bin" ContentType="application/vnd.openxmlformats-officedocument.oleObject"/>
  <Override PartName="/word/webSettings.xml" ContentType="application/vnd.openxmlformats-officedocument.wordprocessingml.webSettings+xml"/>
  <Default Extension="png" ContentType="image/png"/>
  <Override PartName="/word/endnotes.xml" ContentType="application/vnd.openxmlformats-officedocument.wordprocessingml.endnotes+xml"/>
  <Default Extension="wmf" ContentType="image/x-wmf"/>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DE" w:rsidRPr="00DF63B7" w:rsidRDefault="006C05DE" w:rsidP="006C05DE">
      <w:pPr>
        <w:jc w:val="center"/>
        <w:rPr>
          <w:i/>
        </w:rPr>
      </w:pPr>
      <w:r w:rsidRPr="00DF63B7">
        <w:rPr>
          <w:i/>
        </w:rPr>
        <w:t>Supporting Information</w:t>
      </w:r>
    </w:p>
    <w:p w:rsidR="006C05DE" w:rsidRPr="00882EDD" w:rsidRDefault="006C05DE" w:rsidP="006C05DE">
      <w:pPr>
        <w:jc w:val="center"/>
        <w:rPr>
          <w:b/>
        </w:rPr>
      </w:pPr>
    </w:p>
    <w:p w:rsidR="00DF63B7" w:rsidRDefault="00DF63B7" w:rsidP="00DF63B7">
      <w:pPr>
        <w:jc w:val="center"/>
        <w:rPr>
          <w:b/>
          <w:lang w:val="en-US" w:eastAsia="zh-CN"/>
        </w:rPr>
      </w:pPr>
    </w:p>
    <w:p w:rsidR="006C05DE" w:rsidRPr="00DF63B7" w:rsidRDefault="00096D18" w:rsidP="00DF63B7">
      <w:pPr>
        <w:jc w:val="center"/>
        <w:rPr>
          <w:b/>
        </w:rPr>
      </w:pPr>
      <w:r w:rsidRPr="00DF63B7">
        <w:rPr>
          <w:b/>
          <w:lang w:val="en-US" w:eastAsia="zh-CN"/>
        </w:rPr>
        <w:t xml:space="preserve">A New Metal-Organic Hybrid Material with </w:t>
      </w:r>
      <w:r w:rsidRPr="00DF63B7">
        <w:rPr>
          <w:rFonts w:hint="eastAsia"/>
          <w:b/>
          <w:lang w:val="en-US" w:eastAsia="zh-CN"/>
        </w:rPr>
        <w:t xml:space="preserve">Intrinsic </w:t>
      </w:r>
      <w:r w:rsidRPr="00DF63B7">
        <w:rPr>
          <w:b/>
          <w:lang w:val="en-US" w:eastAsia="zh-CN"/>
        </w:rPr>
        <w:t xml:space="preserve">Resistance-Based </w:t>
      </w:r>
      <w:proofErr w:type="spellStart"/>
      <w:r w:rsidRPr="00DF63B7">
        <w:rPr>
          <w:b/>
          <w:lang w:val="en-US" w:eastAsia="zh-CN"/>
        </w:rPr>
        <w:t>Bistability</w:t>
      </w:r>
      <w:proofErr w:type="spellEnd"/>
      <w:r w:rsidRPr="00DF63B7">
        <w:rPr>
          <w:b/>
          <w:lang w:val="en-US" w:eastAsia="zh-CN"/>
        </w:rPr>
        <w:t>: Monitoring In Situ Room Temperature Switching Behavior</w:t>
      </w:r>
    </w:p>
    <w:p w:rsidR="006C05DE" w:rsidRPr="00096D18" w:rsidRDefault="006C05DE" w:rsidP="006C05DE">
      <w:pPr>
        <w:rPr>
          <w:i/>
        </w:rPr>
      </w:pPr>
    </w:p>
    <w:p w:rsidR="006C05DE" w:rsidRPr="00882EDD" w:rsidRDefault="006C05DE" w:rsidP="006C05DE">
      <w:r w:rsidRPr="00882EDD">
        <w:t>Zhongyue Zhang, Hanhua Zhao, Michio M. Matsushida,</w:t>
      </w:r>
      <w:r w:rsidRPr="00882EDD">
        <w:rPr>
          <w:vertAlign w:val="superscript"/>
        </w:rPr>
        <w:t xml:space="preserve"> </w:t>
      </w:r>
      <w:r w:rsidRPr="00882EDD">
        <w:t>Kunio Awaga and Kim R. Dunbar*</w:t>
      </w:r>
    </w:p>
    <w:p w:rsidR="006C05DE" w:rsidRDefault="006C05DE" w:rsidP="006C05DE">
      <w:pPr>
        <w:jc w:val="center"/>
        <w:rPr>
          <w:lang w:val="en-US"/>
        </w:rPr>
      </w:pPr>
    </w:p>
    <w:p w:rsidR="00B96328" w:rsidRPr="00B96328" w:rsidRDefault="00B96328" w:rsidP="006C05DE">
      <w:pPr>
        <w:jc w:val="center"/>
        <w:rPr>
          <w:lang w:val="en-US"/>
        </w:rPr>
      </w:pPr>
    </w:p>
    <w:p w:rsidR="00B96328" w:rsidRPr="00B96328" w:rsidRDefault="00B96328" w:rsidP="00B96328">
      <w:pPr>
        <w:jc w:val="both"/>
        <w:rPr>
          <w:b/>
          <w:lang w:val="en-US"/>
        </w:rPr>
      </w:pPr>
      <w:r w:rsidRPr="00B96328">
        <w:rPr>
          <w:b/>
          <w:lang w:val="en-US"/>
        </w:rPr>
        <w:t>Table of Contents</w:t>
      </w:r>
    </w:p>
    <w:p w:rsidR="00B96328" w:rsidRPr="00B96328" w:rsidRDefault="00B96328" w:rsidP="00B96328">
      <w:pPr>
        <w:jc w:val="both"/>
        <w:rPr>
          <w:lang w:val="en-US"/>
        </w:rPr>
      </w:pPr>
    </w:p>
    <w:p w:rsidR="00B96328" w:rsidRPr="00B96328" w:rsidRDefault="00B96328" w:rsidP="006C05DE">
      <w:pPr>
        <w:rPr>
          <w:b/>
        </w:rPr>
      </w:pPr>
      <w:r w:rsidRPr="00B96328">
        <w:rPr>
          <w:b/>
        </w:rPr>
        <w:t>1, Crystallographic data for Ag(TCNQCl</w:t>
      </w:r>
      <w:r w:rsidRPr="00B96328">
        <w:rPr>
          <w:b/>
          <w:vertAlign w:val="subscript"/>
        </w:rPr>
        <w:t>2</w:t>
      </w:r>
      <w:r w:rsidRPr="00B96328">
        <w:rPr>
          <w:b/>
        </w:rPr>
        <w:t>) (1) and Ag(TCNQBr</w:t>
      </w:r>
      <w:r w:rsidRPr="00B96328">
        <w:rPr>
          <w:b/>
          <w:vertAlign w:val="subscript"/>
        </w:rPr>
        <w:t>2</w:t>
      </w:r>
      <w:r w:rsidRPr="00B96328">
        <w:rPr>
          <w:b/>
        </w:rPr>
        <w:t>) (2).</w:t>
      </w:r>
    </w:p>
    <w:p w:rsidR="00B96328" w:rsidRPr="00B96328" w:rsidRDefault="00B96328" w:rsidP="006C05DE">
      <w:pPr>
        <w:rPr>
          <w:b/>
        </w:rPr>
      </w:pPr>
    </w:p>
    <w:p w:rsidR="00B96328" w:rsidRPr="00B96328" w:rsidRDefault="00B96328" w:rsidP="00B96328">
      <w:pPr>
        <w:rPr>
          <w:b/>
          <w:lang w:val="pl-PL"/>
        </w:rPr>
      </w:pPr>
      <w:r w:rsidRPr="00B96328">
        <w:rPr>
          <w:b/>
          <w:lang w:val="pl-PL"/>
        </w:rPr>
        <w:t>2, The voltage sweeping experiment.</w:t>
      </w:r>
    </w:p>
    <w:p w:rsidR="00B96328" w:rsidRPr="00B96328" w:rsidRDefault="00B96328" w:rsidP="00B96328">
      <w:pPr>
        <w:rPr>
          <w:b/>
          <w:lang w:val="pl-PL"/>
        </w:rPr>
      </w:pPr>
    </w:p>
    <w:p w:rsidR="00B96328" w:rsidRPr="00B96328" w:rsidRDefault="00B96328" w:rsidP="00B96328">
      <w:pPr>
        <w:rPr>
          <w:b/>
          <w:lang w:val="pl-PL"/>
        </w:rPr>
      </w:pPr>
      <w:r w:rsidRPr="00B96328">
        <w:rPr>
          <w:b/>
          <w:lang w:val="pl-PL"/>
        </w:rPr>
        <w:t>3, The charge transfer saturation under current in the case of Ag(TCNQCl</w:t>
      </w:r>
      <w:r w:rsidRPr="00B96328">
        <w:rPr>
          <w:b/>
          <w:vertAlign w:val="subscript"/>
          <w:lang w:val="pl-PL"/>
        </w:rPr>
        <w:t>2</w:t>
      </w:r>
      <w:r w:rsidRPr="00B96328">
        <w:rPr>
          <w:b/>
          <w:lang w:val="pl-PL"/>
        </w:rPr>
        <w:t>)</w:t>
      </w:r>
    </w:p>
    <w:p w:rsidR="00B96328" w:rsidRPr="00B96328" w:rsidRDefault="00B96328" w:rsidP="00B96328">
      <w:pPr>
        <w:rPr>
          <w:b/>
          <w:lang w:val="pl-PL"/>
        </w:rPr>
      </w:pPr>
    </w:p>
    <w:p w:rsidR="006C05DE" w:rsidRPr="00B96328" w:rsidRDefault="00B96328" w:rsidP="006C05DE">
      <w:r w:rsidRPr="00B96328">
        <w:rPr>
          <w:b/>
          <w:lang w:val="en-US"/>
        </w:rPr>
        <w:t>4, Experimental Section</w:t>
      </w:r>
      <w:r w:rsidRPr="00B96328">
        <w:rPr>
          <w:b/>
        </w:rPr>
        <w:t xml:space="preserve"> </w:t>
      </w:r>
      <w:r w:rsidR="006C05DE" w:rsidRPr="00B96328">
        <w:br w:type="page"/>
      </w:r>
    </w:p>
    <w:p w:rsidR="006C05DE" w:rsidRDefault="006C05DE" w:rsidP="006C05DE">
      <w:pPr>
        <w:spacing w:line="276" w:lineRule="auto"/>
        <w:rPr>
          <w:b/>
        </w:rPr>
      </w:pPr>
      <w:r w:rsidRPr="00E7792B">
        <w:rPr>
          <w:b/>
        </w:rPr>
        <w:t>1</w:t>
      </w:r>
      <w:r>
        <w:t xml:space="preserve">, </w:t>
      </w:r>
      <w:r w:rsidRPr="00E7792B">
        <w:rPr>
          <w:b/>
        </w:rPr>
        <w:t>Crystallographic data for Ag(TCNQCl</w:t>
      </w:r>
      <w:r w:rsidRPr="00E7792B">
        <w:rPr>
          <w:b/>
          <w:vertAlign w:val="subscript"/>
        </w:rPr>
        <w:t>2</w:t>
      </w:r>
      <w:r w:rsidRPr="00E7792B">
        <w:rPr>
          <w:b/>
        </w:rPr>
        <w:t>) (1) and Ag(TCNQBr</w:t>
      </w:r>
      <w:r w:rsidRPr="00E7792B">
        <w:rPr>
          <w:b/>
          <w:vertAlign w:val="subscript"/>
        </w:rPr>
        <w:t>2</w:t>
      </w:r>
      <w:r w:rsidRPr="00E7792B">
        <w:rPr>
          <w:b/>
        </w:rPr>
        <w:t xml:space="preserve">) (2). </w:t>
      </w:r>
    </w:p>
    <w:p w:rsidR="006C05DE" w:rsidRPr="00882EDD" w:rsidRDefault="006C05DE" w:rsidP="006C05DE">
      <w:pPr>
        <w:spacing w:line="276" w:lineRule="auto"/>
      </w:pPr>
      <w:r w:rsidRPr="00882EDD">
        <w:t xml:space="preserve">The CIF files are available from the CCDC database, under the numbers </w:t>
      </w:r>
      <w:r w:rsidRPr="00882EDD">
        <w:rPr>
          <w:color w:val="000000" w:themeColor="text1"/>
          <w:lang w:val="en-GB"/>
        </w:rPr>
        <w:t>924677</w:t>
      </w:r>
      <w:r w:rsidRPr="00882EDD">
        <w:t xml:space="preserve"> and </w:t>
      </w:r>
      <w:r w:rsidRPr="00882EDD">
        <w:rPr>
          <w:color w:val="000000" w:themeColor="text1"/>
          <w:lang w:val="en-GB"/>
        </w:rPr>
        <w:t>924678</w:t>
      </w:r>
      <w:r w:rsidRPr="00882EDD">
        <w:t>.</w:t>
      </w:r>
    </w:p>
    <w:p w:rsidR="006C05DE" w:rsidRPr="00E80177" w:rsidRDefault="006C05DE" w:rsidP="006C05DE">
      <w:pPr>
        <w:pStyle w:val="TableCaption"/>
        <w:spacing w:line="276" w:lineRule="auto"/>
        <w:rPr>
          <w:b/>
          <w:sz w:val="22"/>
          <w:szCs w:val="22"/>
        </w:rPr>
      </w:pPr>
    </w:p>
    <w:p w:rsidR="006C05DE" w:rsidRPr="00E80177" w:rsidRDefault="006C05DE" w:rsidP="006C05DE">
      <w:pPr>
        <w:pStyle w:val="TableCaption"/>
        <w:rPr>
          <w:rFonts w:ascii="Times New Roman" w:hAnsi="Times New Roman"/>
          <w:sz w:val="22"/>
          <w:szCs w:val="22"/>
        </w:rPr>
      </w:pPr>
      <w:r w:rsidRPr="00E80177">
        <w:rPr>
          <w:rFonts w:ascii="Times New Roman" w:hAnsi="Times New Roman"/>
          <w:b/>
          <w:sz w:val="22"/>
          <w:szCs w:val="22"/>
        </w:rPr>
        <w:t xml:space="preserve">Table </w:t>
      </w:r>
      <w:r w:rsidRPr="00E80177">
        <w:rPr>
          <w:rFonts w:ascii="Times New Roman" w:eastAsiaTheme="minorEastAsia" w:hAnsi="Times New Roman"/>
          <w:b/>
          <w:sz w:val="22"/>
          <w:szCs w:val="22"/>
          <w:lang w:eastAsia="zh-CN"/>
        </w:rPr>
        <w:t>S</w:t>
      </w:r>
      <w:r w:rsidRPr="00E80177">
        <w:rPr>
          <w:rFonts w:ascii="Times New Roman" w:hAnsi="Times New Roman"/>
          <w:b/>
          <w:sz w:val="22"/>
          <w:szCs w:val="22"/>
        </w:rPr>
        <w:t>1.</w:t>
      </w:r>
      <w:r w:rsidRPr="00E80177">
        <w:rPr>
          <w:rFonts w:ascii="Times New Roman" w:hAnsi="Times New Roman"/>
          <w:sz w:val="22"/>
          <w:szCs w:val="22"/>
        </w:rPr>
        <w:t xml:space="preserve"> Pertinent crystallographic parameters and data for compounds </w:t>
      </w:r>
      <w:r w:rsidRPr="00E80177">
        <w:rPr>
          <w:rFonts w:ascii="Times New Roman" w:eastAsia="宋体" w:hAnsi="Times New Roman"/>
          <w:b/>
          <w:sz w:val="22"/>
          <w:szCs w:val="22"/>
          <w:lang w:eastAsia="zh-CN"/>
        </w:rPr>
        <w:t>1</w:t>
      </w:r>
      <w:r w:rsidRPr="00E80177">
        <w:rPr>
          <w:rFonts w:ascii="Times New Roman" w:eastAsia="宋体" w:hAnsi="Times New Roman"/>
          <w:sz w:val="22"/>
          <w:szCs w:val="22"/>
          <w:lang w:eastAsia="zh-CN"/>
        </w:rPr>
        <w:t xml:space="preserve"> and </w:t>
      </w:r>
      <w:r w:rsidRPr="00E80177">
        <w:rPr>
          <w:rFonts w:ascii="Times New Roman" w:eastAsia="宋体" w:hAnsi="Times New Roman"/>
          <w:b/>
          <w:sz w:val="22"/>
          <w:szCs w:val="22"/>
          <w:lang w:eastAsia="zh-CN"/>
        </w:rPr>
        <w:t>2</w:t>
      </w:r>
      <w:r w:rsidRPr="00E80177">
        <w:rPr>
          <w:rFonts w:ascii="Times New Roman" w:hAnsi="Times New Roman"/>
          <w:sz w:val="22"/>
          <w:szCs w:val="22"/>
        </w:rPr>
        <w:t xml:space="preserve">. </w:t>
      </w:r>
    </w:p>
    <w:tbl>
      <w:tblPr>
        <w:tblW w:w="6345" w:type="dxa"/>
        <w:tblLayout w:type="fixed"/>
        <w:tblLook w:val="01E0"/>
      </w:tblPr>
      <w:tblGrid>
        <w:gridCol w:w="1638"/>
        <w:gridCol w:w="2014"/>
        <w:gridCol w:w="1985"/>
        <w:gridCol w:w="708"/>
      </w:tblGrid>
      <w:tr w:rsidR="006C05DE" w:rsidRPr="00E80177">
        <w:tc>
          <w:tcPr>
            <w:tcW w:w="1638" w:type="dxa"/>
            <w:tcBorders>
              <w:top w:val="single" w:sz="4" w:space="0" w:color="000000"/>
              <w:bottom w:val="single" w:sz="4" w:space="0" w:color="000000"/>
            </w:tcBorders>
          </w:tcPr>
          <w:p w:rsidR="006C05DE" w:rsidRPr="00E80177" w:rsidRDefault="006C05DE" w:rsidP="0059710C">
            <w:pPr>
              <w:pStyle w:val="TableHead"/>
              <w:rPr>
                <w:rFonts w:ascii="Times New Roman" w:hAnsi="Times New Roman"/>
                <w:sz w:val="22"/>
                <w:szCs w:val="22"/>
              </w:rPr>
            </w:pPr>
            <w:r w:rsidRPr="00E80177">
              <w:rPr>
                <w:rFonts w:ascii="Times New Roman" w:hAnsi="Times New Roman"/>
                <w:sz w:val="22"/>
                <w:szCs w:val="22"/>
              </w:rPr>
              <w:t>Compound</w:t>
            </w:r>
          </w:p>
        </w:tc>
        <w:tc>
          <w:tcPr>
            <w:tcW w:w="2014" w:type="dxa"/>
            <w:tcBorders>
              <w:top w:val="single" w:sz="4" w:space="0" w:color="000000"/>
              <w:bottom w:val="single" w:sz="4" w:space="0" w:color="000000"/>
            </w:tcBorders>
          </w:tcPr>
          <w:p w:rsidR="006C05DE" w:rsidRPr="00E80177" w:rsidRDefault="006C05DE" w:rsidP="0059710C">
            <w:pPr>
              <w:pStyle w:val="TableHead"/>
              <w:rPr>
                <w:rFonts w:ascii="Times New Roman" w:eastAsia="宋体" w:hAnsi="Times New Roman"/>
                <w:sz w:val="22"/>
                <w:szCs w:val="22"/>
              </w:rPr>
            </w:pPr>
            <w:r w:rsidRPr="00E80177">
              <w:rPr>
                <w:rFonts w:ascii="Times New Roman" w:eastAsia="宋体" w:hAnsi="Times New Roman"/>
                <w:sz w:val="22"/>
                <w:szCs w:val="22"/>
              </w:rPr>
              <w:t>1</w:t>
            </w:r>
          </w:p>
        </w:tc>
        <w:tc>
          <w:tcPr>
            <w:tcW w:w="2693" w:type="dxa"/>
            <w:gridSpan w:val="2"/>
            <w:tcBorders>
              <w:top w:val="single" w:sz="4" w:space="0" w:color="000000"/>
              <w:bottom w:val="single" w:sz="4" w:space="0" w:color="000000"/>
            </w:tcBorders>
          </w:tcPr>
          <w:p w:rsidR="006C05DE" w:rsidRPr="00E80177" w:rsidRDefault="006C05DE" w:rsidP="0059710C">
            <w:pPr>
              <w:pStyle w:val="TableHead"/>
              <w:rPr>
                <w:rFonts w:ascii="Times New Roman" w:eastAsia="宋体" w:hAnsi="Times New Roman"/>
                <w:sz w:val="22"/>
                <w:szCs w:val="22"/>
              </w:rPr>
            </w:pPr>
            <w:r w:rsidRPr="00E80177">
              <w:rPr>
                <w:rFonts w:ascii="Times New Roman" w:eastAsiaTheme="minorEastAsia" w:hAnsi="Times New Roman"/>
                <w:sz w:val="22"/>
                <w:szCs w:val="22"/>
              </w:rPr>
              <w:t>2</w:t>
            </w:r>
          </w:p>
        </w:tc>
      </w:tr>
      <w:tr w:rsidR="006C05DE" w:rsidRPr="00E80177">
        <w:tc>
          <w:tcPr>
            <w:tcW w:w="1638" w:type="dxa"/>
            <w:tcBorders>
              <w:top w:val="single" w:sz="4" w:space="0" w:color="000000"/>
            </w:tcBorders>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t>Formula</w:t>
            </w:r>
          </w:p>
        </w:tc>
        <w:tc>
          <w:tcPr>
            <w:tcW w:w="2014" w:type="dxa"/>
            <w:tcBorders>
              <w:top w:val="single" w:sz="4" w:space="0" w:color="000000"/>
            </w:tcBorders>
          </w:tcPr>
          <w:p w:rsidR="006C05DE" w:rsidRPr="00E80177" w:rsidRDefault="006C05DE" w:rsidP="0059710C">
            <w:pPr>
              <w:pStyle w:val="TableBody"/>
              <w:rPr>
                <w:rFonts w:ascii="Times New Roman" w:eastAsia="宋体" w:hAnsi="Times New Roman"/>
                <w:sz w:val="22"/>
                <w:szCs w:val="22"/>
                <w:lang w:eastAsia="zh-CN"/>
              </w:rPr>
            </w:pPr>
            <w:r w:rsidRPr="00E80177">
              <w:rPr>
                <w:rFonts w:ascii="Times New Roman" w:hAnsi="Times New Roman"/>
                <w:sz w:val="22"/>
                <w:szCs w:val="22"/>
              </w:rPr>
              <w:t>C</w:t>
            </w:r>
            <w:r w:rsidRPr="00E80177">
              <w:rPr>
                <w:rFonts w:ascii="Times New Roman" w:hAnsi="Times New Roman"/>
                <w:sz w:val="22"/>
                <w:szCs w:val="22"/>
                <w:vertAlign w:val="subscript"/>
              </w:rPr>
              <w:t>12</w:t>
            </w:r>
            <w:r w:rsidRPr="00E80177">
              <w:rPr>
                <w:rFonts w:ascii="Times New Roman" w:hAnsi="Times New Roman"/>
                <w:sz w:val="22"/>
                <w:szCs w:val="22"/>
              </w:rPr>
              <w:t>H</w:t>
            </w:r>
            <w:r w:rsidRPr="00E80177">
              <w:rPr>
                <w:rFonts w:ascii="Times New Roman" w:hAnsi="Times New Roman"/>
                <w:sz w:val="22"/>
                <w:szCs w:val="22"/>
                <w:vertAlign w:val="subscript"/>
              </w:rPr>
              <w:t>2</w:t>
            </w:r>
            <w:r w:rsidRPr="00E80177">
              <w:rPr>
                <w:rFonts w:ascii="Times New Roman" w:hAnsi="Times New Roman"/>
                <w:sz w:val="22"/>
                <w:szCs w:val="22"/>
              </w:rPr>
              <w:t>N</w:t>
            </w:r>
            <w:r w:rsidRPr="00E80177">
              <w:rPr>
                <w:rFonts w:ascii="Times New Roman" w:hAnsi="Times New Roman"/>
                <w:sz w:val="22"/>
                <w:szCs w:val="22"/>
                <w:vertAlign w:val="subscript"/>
              </w:rPr>
              <w:t>4</w:t>
            </w:r>
            <w:r w:rsidRPr="00E80177">
              <w:rPr>
                <w:rFonts w:ascii="Times New Roman" w:hAnsi="Times New Roman"/>
                <w:sz w:val="22"/>
                <w:szCs w:val="22"/>
              </w:rPr>
              <w:t>Cl</w:t>
            </w:r>
            <w:r w:rsidRPr="00E80177">
              <w:rPr>
                <w:rFonts w:ascii="Times New Roman" w:hAnsi="Times New Roman"/>
                <w:sz w:val="22"/>
                <w:szCs w:val="22"/>
                <w:vertAlign w:val="subscript"/>
              </w:rPr>
              <w:t>2</w:t>
            </w:r>
            <w:r w:rsidRPr="00E80177">
              <w:rPr>
                <w:rFonts w:ascii="Times New Roman" w:eastAsiaTheme="minorEastAsia" w:hAnsi="Times New Roman"/>
                <w:sz w:val="22"/>
                <w:szCs w:val="22"/>
                <w:lang w:eastAsia="zh-CN"/>
              </w:rPr>
              <w:t>Ag</w:t>
            </w:r>
          </w:p>
        </w:tc>
        <w:tc>
          <w:tcPr>
            <w:tcW w:w="2693" w:type="dxa"/>
            <w:gridSpan w:val="2"/>
            <w:tcBorders>
              <w:top w:val="single" w:sz="4" w:space="0" w:color="000000"/>
            </w:tcBorders>
          </w:tcPr>
          <w:p w:rsidR="006C05DE" w:rsidRPr="00E80177" w:rsidRDefault="006C05DE" w:rsidP="0059710C">
            <w:pPr>
              <w:pStyle w:val="TableBody"/>
              <w:rPr>
                <w:rFonts w:ascii="Times New Roman" w:eastAsia="宋体" w:hAnsi="Times New Roman"/>
                <w:sz w:val="22"/>
                <w:szCs w:val="22"/>
                <w:lang w:eastAsia="zh-CN"/>
              </w:rPr>
            </w:pPr>
            <w:r w:rsidRPr="00E80177">
              <w:rPr>
                <w:rFonts w:ascii="Times New Roman" w:hAnsi="Times New Roman"/>
                <w:sz w:val="22"/>
                <w:szCs w:val="22"/>
              </w:rPr>
              <w:t>C</w:t>
            </w:r>
            <w:r w:rsidRPr="00E80177">
              <w:rPr>
                <w:rFonts w:ascii="Times New Roman" w:hAnsi="Times New Roman"/>
                <w:sz w:val="22"/>
                <w:szCs w:val="22"/>
                <w:vertAlign w:val="subscript"/>
              </w:rPr>
              <w:t>12</w:t>
            </w:r>
            <w:r w:rsidRPr="00E80177">
              <w:rPr>
                <w:rFonts w:ascii="Times New Roman" w:hAnsi="Times New Roman"/>
                <w:sz w:val="22"/>
                <w:szCs w:val="22"/>
              </w:rPr>
              <w:t>H</w:t>
            </w:r>
            <w:r w:rsidRPr="00E80177">
              <w:rPr>
                <w:rFonts w:ascii="Times New Roman" w:hAnsi="Times New Roman"/>
                <w:sz w:val="22"/>
                <w:szCs w:val="22"/>
                <w:vertAlign w:val="subscript"/>
              </w:rPr>
              <w:t>2</w:t>
            </w:r>
            <w:r w:rsidRPr="00E80177">
              <w:rPr>
                <w:rFonts w:ascii="Times New Roman" w:hAnsi="Times New Roman"/>
                <w:sz w:val="22"/>
                <w:szCs w:val="22"/>
              </w:rPr>
              <w:t>N</w:t>
            </w:r>
            <w:r w:rsidRPr="00E80177">
              <w:rPr>
                <w:rFonts w:ascii="Times New Roman" w:hAnsi="Times New Roman"/>
                <w:sz w:val="22"/>
                <w:szCs w:val="22"/>
                <w:vertAlign w:val="subscript"/>
              </w:rPr>
              <w:t>4</w:t>
            </w:r>
            <w:r w:rsidRPr="00E80177">
              <w:rPr>
                <w:rFonts w:ascii="Times New Roman" w:hAnsi="Times New Roman"/>
                <w:sz w:val="22"/>
                <w:szCs w:val="22"/>
              </w:rPr>
              <w:t>Br</w:t>
            </w:r>
            <w:r w:rsidRPr="00E80177">
              <w:rPr>
                <w:rFonts w:ascii="Times New Roman" w:hAnsi="Times New Roman"/>
                <w:sz w:val="22"/>
                <w:szCs w:val="22"/>
                <w:vertAlign w:val="subscript"/>
              </w:rPr>
              <w:t>2</w:t>
            </w:r>
            <w:r w:rsidRPr="00E80177">
              <w:rPr>
                <w:rFonts w:ascii="Times New Roman" w:eastAsiaTheme="minorEastAsia" w:hAnsi="Times New Roman"/>
                <w:sz w:val="22"/>
                <w:szCs w:val="22"/>
                <w:lang w:eastAsia="zh-CN"/>
              </w:rPr>
              <w:t>Ag</w:t>
            </w:r>
          </w:p>
        </w:tc>
      </w:tr>
      <w:tr w:rsidR="006C05DE" w:rsidRPr="00E80177">
        <w:tc>
          <w:tcPr>
            <w:tcW w:w="1638" w:type="dxa"/>
          </w:tcPr>
          <w:p w:rsidR="006C05DE" w:rsidRPr="00E80177" w:rsidRDefault="006C05DE" w:rsidP="0059710C">
            <w:pPr>
              <w:pStyle w:val="TableBody"/>
              <w:rPr>
                <w:rFonts w:ascii="Times New Roman" w:hAnsi="Times New Roman"/>
                <w:sz w:val="22"/>
                <w:szCs w:val="22"/>
              </w:rPr>
            </w:pPr>
            <w:proofErr w:type="spellStart"/>
            <w:r w:rsidRPr="00E80177">
              <w:rPr>
                <w:rFonts w:ascii="Times New Roman" w:hAnsi="Times New Roman"/>
                <w:sz w:val="22"/>
                <w:szCs w:val="22"/>
              </w:rPr>
              <w:t>F</w:t>
            </w:r>
            <w:r w:rsidRPr="00E80177">
              <w:rPr>
                <w:rFonts w:ascii="Times New Roman" w:hAnsi="Times New Roman"/>
                <w:sz w:val="22"/>
                <w:szCs w:val="22"/>
                <w:vertAlign w:val="subscript"/>
              </w:rPr>
              <w:t>w</w:t>
            </w:r>
            <w:proofErr w:type="spellEnd"/>
            <w:r w:rsidRPr="00E80177">
              <w:rPr>
                <w:rFonts w:ascii="Times New Roman" w:hAnsi="Times New Roman"/>
                <w:sz w:val="22"/>
                <w:szCs w:val="22"/>
              </w:rPr>
              <w:t xml:space="preserve"> [g mol</w:t>
            </w:r>
            <w:r w:rsidRPr="00E80177">
              <w:rPr>
                <w:rFonts w:ascii="Times New Roman" w:hAnsi="Times New Roman"/>
                <w:sz w:val="22"/>
                <w:szCs w:val="22"/>
                <w:vertAlign w:val="superscript"/>
              </w:rPr>
              <w:t>-1</w:t>
            </w:r>
            <w:r w:rsidRPr="00E80177">
              <w:rPr>
                <w:rFonts w:ascii="Times New Roman" w:hAnsi="Times New Roman"/>
                <w:sz w:val="22"/>
                <w:szCs w:val="22"/>
              </w:rPr>
              <w:t>]</w:t>
            </w:r>
          </w:p>
        </w:tc>
        <w:tc>
          <w:tcPr>
            <w:tcW w:w="2014" w:type="dxa"/>
          </w:tcPr>
          <w:p w:rsidR="006C05DE" w:rsidRPr="00E80177" w:rsidRDefault="006C05DE" w:rsidP="0059710C">
            <w:pPr>
              <w:pStyle w:val="TableBody"/>
              <w:rPr>
                <w:rFonts w:ascii="Times New Roman" w:eastAsiaTheme="minorEastAsia" w:hAnsi="Times New Roman"/>
                <w:sz w:val="22"/>
                <w:szCs w:val="22"/>
              </w:rPr>
            </w:pPr>
            <w:r w:rsidRPr="00E80177">
              <w:rPr>
                <w:rFonts w:ascii="Times New Roman" w:eastAsiaTheme="minorEastAsia" w:hAnsi="Times New Roman"/>
                <w:sz w:val="22"/>
                <w:szCs w:val="22"/>
              </w:rPr>
              <w:t>380.95</w:t>
            </w:r>
          </w:p>
        </w:tc>
        <w:tc>
          <w:tcPr>
            <w:tcW w:w="2693" w:type="dxa"/>
            <w:gridSpan w:val="2"/>
          </w:tcPr>
          <w:p w:rsidR="006C05DE" w:rsidRPr="00E80177" w:rsidRDefault="006C05DE" w:rsidP="0059710C">
            <w:pPr>
              <w:pStyle w:val="TableBody"/>
              <w:rPr>
                <w:rFonts w:ascii="Times New Roman" w:eastAsiaTheme="minorEastAsia" w:hAnsi="Times New Roman"/>
                <w:sz w:val="22"/>
                <w:szCs w:val="22"/>
              </w:rPr>
            </w:pPr>
            <w:r w:rsidRPr="00E80177">
              <w:rPr>
                <w:rFonts w:ascii="Times New Roman" w:eastAsiaTheme="minorEastAsia" w:hAnsi="Times New Roman"/>
                <w:sz w:val="22"/>
                <w:szCs w:val="22"/>
              </w:rPr>
              <w:t>469.87</w:t>
            </w:r>
          </w:p>
        </w:tc>
      </w:tr>
      <w:tr w:rsidR="006C05DE" w:rsidRPr="00E80177">
        <w:trPr>
          <w:gridAfter w:val="1"/>
          <w:wAfter w:w="708" w:type="dxa"/>
        </w:trPr>
        <w:tc>
          <w:tcPr>
            <w:tcW w:w="1638"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t>Crystal size [ mm</w:t>
            </w:r>
            <w:r w:rsidRPr="00E80177">
              <w:rPr>
                <w:rFonts w:ascii="Times New Roman" w:hAnsi="Times New Roman"/>
                <w:sz w:val="22"/>
                <w:szCs w:val="22"/>
                <w:vertAlign w:val="superscript"/>
              </w:rPr>
              <w:t>3</w:t>
            </w:r>
            <w:r w:rsidRPr="00E80177">
              <w:rPr>
                <w:rFonts w:ascii="Times New Roman" w:hAnsi="Times New Roman"/>
                <w:sz w:val="22"/>
                <w:szCs w:val="22"/>
              </w:rPr>
              <w:t>]</w:t>
            </w:r>
          </w:p>
        </w:tc>
        <w:tc>
          <w:tcPr>
            <w:tcW w:w="2014" w:type="dxa"/>
          </w:tcPr>
          <w:p w:rsidR="006C05DE" w:rsidRPr="00E80177" w:rsidRDefault="006C05DE" w:rsidP="0059710C">
            <w:pPr>
              <w:pStyle w:val="TableBody"/>
              <w:rPr>
                <w:rFonts w:ascii="Times New Roman" w:eastAsiaTheme="minorEastAsia" w:hAnsi="Times New Roman"/>
                <w:sz w:val="22"/>
                <w:szCs w:val="22"/>
                <w:lang w:eastAsia="zh-CN"/>
              </w:rPr>
            </w:pPr>
            <w:r w:rsidRPr="00E80177">
              <w:rPr>
                <w:rFonts w:ascii="Times New Roman" w:hAnsi="Times New Roman"/>
                <w:sz w:val="22"/>
                <w:szCs w:val="22"/>
              </w:rPr>
              <w:t>0.</w:t>
            </w:r>
            <w:r w:rsidRPr="00E80177">
              <w:rPr>
                <w:rFonts w:ascii="Times New Roman" w:eastAsiaTheme="minorEastAsia" w:hAnsi="Times New Roman"/>
                <w:sz w:val="22"/>
                <w:szCs w:val="22"/>
                <w:lang w:eastAsia="zh-CN"/>
              </w:rPr>
              <w:t>02</w:t>
            </w:r>
            <w:r w:rsidRPr="00E80177">
              <w:rPr>
                <w:rFonts w:ascii="Times New Roman" w:hAnsi="Times New Roman"/>
                <w:sz w:val="22"/>
                <w:szCs w:val="22"/>
              </w:rPr>
              <w:t xml:space="preserve"> x 0.</w:t>
            </w:r>
            <w:r w:rsidRPr="00E80177">
              <w:rPr>
                <w:rFonts w:ascii="Times New Roman" w:eastAsiaTheme="minorEastAsia" w:hAnsi="Times New Roman"/>
                <w:sz w:val="22"/>
                <w:szCs w:val="22"/>
                <w:lang w:eastAsia="zh-CN"/>
              </w:rPr>
              <w:t>008</w:t>
            </w:r>
            <w:r w:rsidRPr="00E80177">
              <w:rPr>
                <w:rFonts w:ascii="Times New Roman" w:hAnsi="Times New Roman"/>
                <w:sz w:val="22"/>
                <w:szCs w:val="22"/>
              </w:rPr>
              <w:t xml:space="preserve"> x 0.</w:t>
            </w:r>
            <w:r w:rsidRPr="00E80177">
              <w:rPr>
                <w:rFonts w:ascii="Times New Roman" w:eastAsiaTheme="minorEastAsia" w:hAnsi="Times New Roman"/>
                <w:sz w:val="22"/>
                <w:szCs w:val="22"/>
                <w:lang w:eastAsia="zh-CN"/>
              </w:rPr>
              <w:t>0</w:t>
            </w:r>
            <w:r w:rsidRPr="00E80177">
              <w:rPr>
                <w:rFonts w:ascii="Times New Roman" w:hAnsi="Times New Roman"/>
                <w:sz w:val="22"/>
                <w:szCs w:val="22"/>
              </w:rPr>
              <w:t>0</w:t>
            </w:r>
            <w:r w:rsidRPr="00E80177">
              <w:rPr>
                <w:rFonts w:ascii="Times New Roman" w:eastAsiaTheme="minorEastAsia" w:hAnsi="Times New Roman"/>
                <w:sz w:val="22"/>
                <w:szCs w:val="22"/>
                <w:lang w:eastAsia="zh-CN"/>
              </w:rPr>
              <w:t>5</w:t>
            </w:r>
          </w:p>
        </w:tc>
        <w:tc>
          <w:tcPr>
            <w:tcW w:w="1985"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t>0.</w:t>
            </w:r>
            <w:r w:rsidRPr="00E80177">
              <w:rPr>
                <w:rFonts w:ascii="Times New Roman" w:eastAsiaTheme="minorEastAsia" w:hAnsi="Times New Roman"/>
                <w:sz w:val="22"/>
                <w:szCs w:val="22"/>
                <w:lang w:eastAsia="zh-CN"/>
              </w:rPr>
              <w:t>04</w:t>
            </w:r>
            <w:r w:rsidRPr="00E80177">
              <w:rPr>
                <w:rFonts w:ascii="Times New Roman" w:hAnsi="Times New Roman"/>
                <w:sz w:val="22"/>
                <w:szCs w:val="22"/>
              </w:rPr>
              <w:t>x 0.</w:t>
            </w:r>
            <w:r w:rsidRPr="00E80177">
              <w:rPr>
                <w:rFonts w:ascii="Times New Roman" w:eastAsiaTheme="minorEastAsia" w:hAnsi="Times New Roman"/>
                <w:sz w:val="22"/>
                <w:szCs w:val="22"/>
                <w:lang w:eastAsia="zh-CN"/>
              </w:rPr>
              <w:t>02</w:t>
            </w:r>
            <w:r w:rsidRPr="00E80177">
              <w:rPr>
                <w:rFonts w:ascii="Times New Roman" w:hAnsi="Times New Roman"/>
                <w:sz w:val="22"/>
                <w:szCs w:val="22"/>
              </w:rPr>
              <w:t xml:space="preserve"> x 0.</w:t>
            </w:r>
            <w:r w:rsidRPr="00E80177">
              <w:rPr>
                <w:rFonts w:ascii="Times New Roman" w:eastAsiaTheme="minorEastAsia" w:hAnsi="Times New Roman"/>
                <w:sz w:val="22"/>
                <w:szCs w:val="22"/>
                <w:lang w:eastAsia="zh-CN"/>
              </w:rPr>
              <w:t>01</w:t>
            </w:r>
          </w:p>
        </w:tc>
      </w:tr>
      <w:tr w:rsidR="006C05DE" w:rsidRPr="00E80177">
        <w:tc>
          <w:tcPr>
            <w:tcW w:w="1638"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t xml:space="preserve">Crystal system </w:t>
            </w:r>
          </w:p>
        </w:tc>
        <w:tc>
          <w:tcPr>
            <w:tcW w:w="2014"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t>Monoclinic</w:t>
            </w:r>
          </w:p>
        </w:tc>
        <w:tc>
          <w:tcPr>
            <w:tcW w:w="2693" w:type="dxa"/>
            <w:gridSpan w:val="2"/>
          </w:tcPr>
          <w:p w:rsidR="006C05DE" w:rsidRPr="00E80177" w:rsidRDefault="006C05DE" w:rsidP="0059710C">
            <w:pPr>
              <w:pStyle w:val="TableBody"/>
              <w:rPr>
                <w:rFonts w:ascii="Times New Roman" w:hAnsi="Times New Roman"/>
                <w:sz w:val="22"/>
                <w:szCs w:val="22"/>
              </w:rPr>
            </w:pPr>
            <w:r w:rsidRPr="00E80177">
              <w:rPr>
                <w:rFonts w:ascii="Times New Roman" w:eastAsiaTheme="minorEastAsia" w:hAnsi="Times New Roman"/>
                <w:sz w:val="22"/>
                <w:szCs w:val="22"/>
                <w:lang w:eastAsia="zh-CN"/>
              </w:rPr>
              <w:t>Tri</w:t>
            </w:r>
            <w:r w:rsidRPr="00E80177">
              <w:rPr>
                <w:rFonts w:ascii="Times New Roman" w:hAnsi="Times New Roman"/>
                <w:sz w:val="22"/>
                <w:szCs w:val="22"/>
              </w:rPr>
              <w:t>clinic</w:t>
            </w:r>
          </w:p>
        </w:tc>
      </w:tr>
      <w:tr w:rsidR="006C05DE" w:rsidRPr="00E80177">
        <w:tc>
          <w:tcPr>
            <w:tcW w:w="1638"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t>Space group</w:t>
            </w:r>
          </w:p>
        </w:tc>
        <w:tc>
          <w:tcPr>
            <w:tcW w:w="2014"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t>P2/c</w:t>
            </w:r>
          </w:p>
        </w:tc>
        <w:tc>
          <w:tcPr>
            <w:tcW w:w="2693" w:type="dxa"/>
            <w:gridSpan w:val="2"/>
          </w:tcPr>
          <w:p w:rsidR="006C05DE" w:rsidRPr="00E80177" w:rsidRDefault="006C05DE" w:rsidP="0059710C">
            <w:pPr>
              <w:pStyle w:val="TableBody"/>
              <w:rPr>
                <w:rFonts w:ascii="Times New Roman" w:eastAsiaTheme="minorEastAsia" w:hAnsi="Times New Roman"/>
                <w:sz w:val="22"/>
                <w:szCs w:val="22"/>
              </w:rPr>
            </w:pPr>
            <w:r w:rsidRPr="00E80177">
              <w:rPr>
                <w:rFonts w:ascii="Times New Roman" w:hAnsi="Times New Roman"/>
                <w:sz w:val="22"/>
                <w:szCs w:val="22"/>
              </w:rPr>
              <w:t>P</w:t>
            </w:r>
            <w:r w:rsidRPr="00E80177">
              <w:rPr>
                <w:rFonts w:ascii="Times New Roman" w:eastAsiaTheme="minorEastAsia" w:hAnsi="Times New Roman"/>
                <w:sz w:val="22"/>
                <w:szCs w:val="22"/>
              </w:rPr>
              <w:t>-1</w:t>
            </w:r>
          </w:p>
        </w:tc>
      </w:tr>
      <w:tr w:rsidR="006C05DE" w:rsidRPr="00E80177">
        <w:tc>
          <w:tcPr>
            <w:tcW w:w="1638"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i/>
                <w:sz w:val="22"/>
                <w:szCs w:val="22"/>
              </w:rPr>
              <w:t>a</w:t>
            </w:r>
            <w:r w:rsidRPr="00E80177">
              <w:rPr>
                <w:rFonts w:ascii="Times New Roman" w:hAnsi="Times New Roman"/>
                <w:sz w:val="22"/>
                <w:szCs w:val="22"/>
              </w:rPr>
              <w:t xml:space="preserve"> [Å]</w:t>
            </w:r>
          </w:p>
        </w:tc>
        <w:tc>
          <w:tcPr>
            <w:tcW w:w="2014" w:type="dxa"/>
          </w:tcPr>
          <w:p w:rsidR="006C05DE" w:rsidRPr="00E80177" w:rsidRDefault="006C05DE" w:rsidP="0059710C">
            <w:pPr>
              <w:pStyle w:val="TableBody"/>
              <w:rPr>
                <w:rFonts w:ascii="Times New Roman" w:hAnsi="Times New Roman"/>
                <w:sz w:val="22"/>
                <w:szCs w:val="22"/>
              </w:rPr>
            </w:pPr>
            <w:r w:rsidRPr="00E80177">
              <w:rPr>
                <w:rFonts w:ascii="Times New Roman" w:eastAsiaTheme="minorEastAsia" w:hAnsi="Times New Roman"/>
                <w:sz w:val="22"/>
                <w:szCs w:val="22"/>
              </w:rPr>
              <w:t>6.7867(14)</w:t>
            </w:r>
          </w:p>
        </w:tc>
        <w:tc>
          <w:tcPr>
            <w:tcW w:w="2693" w:type="dxa"/>
            <w:gridSpan w:val="2"/>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t>7.</w:t>
            </w:r>
            <w:r w:rsidRPr="00E80177">
              <w:rPr>
                <w:rFonts w:ascii="Times New Roman" w:eastAsiaTheme="minorEastAsia" w:hAnsi="Times New Roman"/>
                <w:sz w:val="22"/>
                <w:szCs w:val="22"/>
                <w:lang w:eastAsia="zh-CN"/>
              </w:rPr>
              <w:t>2540</w:t>
            </w:r>
            <w:r w:rsidRPr="00E80177">
              <w:rPr>
                <w:rFonts w:ascii="Times New Roman" w:hAnsi="Times New Roman"/>
                <w:sz w:val="22"/>
                <w:szCs w:val="22"/>
              </w:rPr>
              <w:t>(</w:t>
            </w:r>
            <w:r w:rsidRPr="00E80177">
              <w:rPr>
                <w:rFonts w:ascii="Times New Roman" w:eastAsiaTheme="minorEastAsia" w:hAnsi="Times New Roman"/>
                <w:sz w:val="22"/>
                <w:szCs w:val="22"/>
                <w:lang w:eastAsia="zh-CN"/>
              </w:rPr>
              <w:t>15</w:t>
            </w:r>
            <w:r w:rsidRPr="00E80177">
              <w:rPr>
                <w:rFonts w:ascii="Times New Roman" w:hAnsi="Times New Roman"/>
                <w:sz w:val="22"/>
                <w:szCs w:val="22"/>
              </w:rPr>
              <w:t>)</w:t>
            </w:r>
          </w:p>
        </w:tc>
      </w:tr>
      <w:tr w:rsidR="006C05DE" w:rsidRPr="00E80177">
        <w:tc>
          <w:tcPr>
            <w:tcW w:w="1638"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i/>
                <w:sz w:val="22"/>
                <w:szCs w:val="22"/>
              </w:rPr>
              <w:t>b</w:t>
            </w:r>
            <w:r w:rsidRPr="00E80177">
              <w:rPr>
                <w:rFonts w:ascii="Times New Roman" w:hAnsi="Times New Roman"/>
                <w:sz w:val="22"/>
                <w:szCs w:val="22"/>
              </w:rPr>
              <w:t xml:space="preserve"> [Å]</w:t>
            </w:r>
          </w:p>
        </w:tc>
        <w:tc>
          <w:tcPr>
            <w:tcW w:w="2014" w:type="dxa"/>
          </w:tcPr>
          <w:p w:rsidR="006C05DE" w:rsidRPr="00E80177" w:rsidRDefault="006C05DE" w:rsidP="0059710C">
            <w:pPr>
              <w:pStyle w:val="TableBody"/>
              <w:rPr>
                <w:rFonts w:ascii="Times New Roman" w:hAnsi="Times New Roman"/>
                <w:sz w:val="22"/>
                <w:szCs w:val="22"/>
              </w:rPr>
            </w:pPr>
            <w:r w:rsidRPr="00E80177">
              <w:rPr>
                <w:rFonts w:ascii="Times New Roman" w:eastAsia="宋体" w:hAnsi="Times New Roman"/>
                <w:sz w:val="22"/>
                <w:szCs w:val="22"/>
              </w:rPr>
              <w:t>3.5336</w:t>
            </w:r>
            <w:r w:rsidRPr="00E80177">
              <w:rPr>
                <w:rFonts w:ascii="Times New Roman" w:hAnsi="Times New Roman"/>
                <w:sz w:val="22"/>
                <w:szCs w:val="22"/>
              </w:rPr>
              <w:t>(</w:t>
            </w:r>
            <w:r w:rsidRPr="00E80177">
              <w:rPr>
                <w:rFonts w:ascii="Times New Roman" w:eastAsiaTheme="minorEastAsia" w:hAnsi="Times New Roman"/>
                <w:sz w:val="22"/>
                <w:szCs w:val="22"/>
              </w:rPr>
              <w:t>7</w:t>
            </w:r>
            <w:r w:rsidRPr="00E80177">
              <w:rPr>
                <w:rFonts w:ascii="Times New Roman" w:hAnsi="Times New Roman"/>
                <w:sz w:val="22"/>
                <w:szCs w:val="22"/>
              </w:rPr>
              <w:t>)</w:t>
            </w:r>
          </w:p>
        </w:tc>
        <w:tc>
          <w:tcPr>
            <w:tcW w:w="2693" w:type="dxa"/>
            <w:gridSpan w:val="2"/>
          </w:tcPr>
          <w:p w:rsidR="006C05DE" w:rsidRPr="00E80177" w:rsidRDefault="006C05DE" w:rsidP="0059710C">
            <w:pPr>
              <w:pStyle w:val="TableBody"/>
              <w:rPr>
                <w:rFonts w:ascii="Times New Roman" w:hAnsi="Times New Roman"/>
                <w:sz w:val="22"/>
                <w:szCs w:val="22"/>
              </w:rPr>
            </w:pPr>
            <w:r w:rsidRPr="00E80177">
              <w:rPr>
                <w:rFonts w:ascii="Times New Roman" w:eastAsiaTheme="minorEastAsia" w:hAnsi="Times New Roman"/>
                <w:sz w:val="22"/>
                <w:szCs w:val="22"/>
              </w:rPr>
              <w:t>7.7900</w:t>
            </w:r>
            <w:r w:rsidRPr="00E80177">
              <w:rPr>
                <w:rFonts w:ascii="Times New Roman" w:hAnsi="Times New Roman"/>
                <w:sz w:val="22"/>
                <w:szCs w:val="22"/>
              </w:rPr>
              <w:t>(</w:t>
            </w:r>
            <w:r w:rsidRPr="00E80177">
              <w:rPr>
                <w:rFonts w:ascii="Times New Roman" w:eastAsia="宋体" w:hAnsi="Times New Roman"/>
                <w:sz w:val="22"/>
                <w:szCs w:val="22"/>
              </w:rPr>
              <w:t>16</w:t>
            </w:r>
            <w:r w:rsidRPr="00E80177">
              <w:rPr>
                <w:rFonts w:ascii="Times New Roman" w:hAnsi="Times New Roman"/>
                <w:sz w:val="22"/>
                <w:szCs w:val="22"/>
              </w:rPr>
              <w:t>)</w:t>
            </w:r>
          </w:p>
        </w:tc>
      </w:tr>
      <w:tr w:rsidR="006C05DE" w:rsidRPr="00E80177">
        <w:tc>
          <w:tcPr>
            <w:tcW w:w="1638"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i/>
                <w:sz w:val="22"/>
                <w:szCs w:val="22"/>
              </w:rPr>
              <w:t xml:space="preserve">c </w:t>
            </w:r>
            <w:r w:rsidRPr="00E80177">
              <w:rPr>
                <w:rFonts w:ascii="Times New Roman" w:hAnsi="Times New Roman"/>
                <w:sz w:val="22"/>
                <w:szCs w:val="22"/>
              </w:rPr>
              <w:t>[Å]</w:t>
            </w:r>
          </w:p>
        </w:tc>
        <w:tc>
          <w:tcPr>
            <w:tcW w:w="2014" w:type="dxa"/>
          </w:tcPr>
          <w:p w:rsidR="006C05DE" w:rsidRPr="00E80177" w:rsidRDefault="006C05DE" w:rsidP="0059710C">
            <w:pPr>
              <w:pStyle w:val="TableBody"/>
              <w:rPr>
                <w:rFonts w:ascii="Times New Roman" w:hAnsi="Times New Roman"/>
                <w:sz w:val="22"/>
                <w:szCs w:val="22"/>
              </w:rPr>
            </w:pPr>
            <w:r w:rsidRPr="00E80177">
              <w:rPr>
                <w:rFonts w:ascii="Times New Roman" w:eastAsia="宋体" w:hAnsi="Times New Roman"/>
                <w:sz w:val="22"/>
                <w:szCs w:val="22"/>
              </w:rPr>
              <w:t>22.719</w:t>
            </w:r>
            <w:r w:rsidRPr="00E80177">
              <w:rPr>
                <w:rFonts w:ascii="Times New Roman" w:hAnsi="Times New Roman"/>
                <w:sz w:val="22"/>
                <w:szCs w:val="22"/>
              </w:rPr>
              <w:t>(</w:t>
            </w:r>
            <w:r w:rsidRPr="00E80177">
              <w:rPr>
                <w:rFonts w:ascii="Times New Roman" w:eastAsia="宋体" w:hAnsi="Times New Roman"/>
                <w:sz w:val="22"/>
                <w:szCs w:val="22"/>
              </w:rPr>
              <w:t>4</w:t>
            </w:r>
            <w:r w:rsidRPr="00E80177">
              <w:rPr>
                <w:rFonts w:ascii="Times New Roman" w:hAnsi="Times New Roman"/>
                <w:sz w:val="22"/>
                <w:szCs w:val="22"/>
              </w:rPr>
              <w:t>)</w:t>
            </w:r>
          </w:p>
        </w:tc>
        <w:tc>
          <w:tcPr>
            <w:tcW w:w="2693" w:type="dxa"/>
            <w:gridSpan w:val="2"/>
          </w:tcPr>
          <w:p w:rsidR="006C05DE" w:rsidRPr="00E80177" w:rsidRDefault="006C05DE" w:rsidP="0059710C">
            <w:pPr>
              <w:pStyle w:val="TableBody"/>
              <w:rPr>
                <w:rFonts w:ascii="Times New Roman" w:hAnsi="Times New Roman"/>
                <w:sz w:val="22"/>
                <w:szCs w:val="22"/>
              </w:rPr>
            </w:pPr>
            <w:r w:rsidRPr="00E80177">
              <w:rPr>
                <w:rFonts w:ascii="Times New Roman" w:eastAsia="宋体" w:hAnsi="Times New Roman"/>
                <w:sz w:val="22"/>
                <w:szCs w:val="22"/>
              </w:rPr>
              <w:t>11.640</w:t>
            </w:r>
            <w:r w:rsidRPr="00E80177">
              <w:rPr>
                <w:rFonts w:ascii="Times New Roman" w:hAnsi="Times New Roman"/>
                <w:sz w:val="22"/>
                <w:szCs w:val="22"/>
              </w:rPr>
              <w:t>(</w:t>
            </w:r>
            <w:r w:rsidRPr="00E80177">
              <w:rPr>
                <w:rFonts w:ascii="Times New Roman" w:eastAsia="宋体" w:hAnsi="Times New Roman"/>
                <w:sz w:val="22"/>
                <w:szCs w:val="22"/>
              </w:rPr>
              <w:t>2</w:t>
            </w:r>
            <w:r w:rsidRPr="00E80177">
              <w:rPr>
                <w:rFonts w:ascii="Times New Roman" w:hAnsi="Times New Roman"/>
                <w:sz w:val="22"/>
                <w:szCs w:val="22"/>
              </w:rPr>
              <w:t>)</w:t>
            </w:r>
          </w:p>
        </w:tc>
      </w:tr>
      <w:tr w:rsidR="006C05DE" w:rsidRPr="00E80177">
        <w:tc>
          <w:tcPr>
            <w:tcW w:w="1638" w:type="dxa"/>
          </w:tcPr>
          <w:p w:rsidR="006C05DE" w:rsidRPr="00E80177" w:rsidRDefault="006C05DE" w:rsidP="0059710C">
            <w:pPr>
              <w:pStyle w:val="TableBody"/>
              <w:rPr>
                <w:rFonts w:ascii="Times New Roman" w:eastAsia="宋体" w:hAnsi="Times New Roman"/>
                <w:sz w:val="22"/>
                <w:szCs w:val="22"/>
                <w:lang w:eastAsia="zh-CN"/>
              </w:rPr>
            </w:pPr>
            <w:r w:rsidRPr="00E80177">
              <w:rPr>
                <w:rFonts w:ascii="Times New Roman" w:hAnsi="Times New Roman"/>
                <w:sz w:val="22"/>
                <w:szCs w:val="22"/>
              </w:rPr>
              <w:t>α</w:t>
            </w:r>
            <w:r w:rsidRPr="00E80177">
              <w:rPr>
                <w:rFonts w:ascii="Times New Roman" w:eastAsia="宋体" w:hAnsi="Times New Roman"/>
                <w:sz w:val="22"/>
                <w:szCs w:val="22"/>
                <w:lang w:eastAsia="zh-CN"/>
              </w:rPr>
              <w:t xml:space="preserve"> </w:t>
            </w:r>
            <w:r w:rsidRPr="00E80177">
              <w:rPr>
                <w:rFonts w:ascii="Times New Roman" w:hAnsi="Times New Roman"/>
                <w:sz w:val="22"/>
                <w:szCs w:val="22"/>
              </w:rPr>
              <w:t>[</w:t>
            </w:r>
            <w:r w:rsidRPr="00E80177">
              <w:rPr>
                <w:rFonts w:ascii="Times New Roman" w:hAnsi="Times New Roman"/>
                <w:sz w:val="22"/>
                <w:szCs w:val="22"/>
              </w:rPr>
              <w:sym w:font="Symbol" w:char="F0B0"/>
            </w:r>
            <w:r w:rsidRPr="00E80177">
              <w:rPr>
                <w:rFonts w:ascii="Times New Roman" w:hAnsi="Times New Roman"/>
                <w:sz w:val="22"/>
                <w:szCs w:val="22"/>
              </w:rPr>
              <w:t>]</w:t>
            </w:r>
          </w:p>
        </w:tc>
        <w:tc>
          <w:tcPr>
            <w:tcW w:w="2014"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t>90</w:t>
            </w:r>
          </w:p>
        </w:tc>
        <w:tc>
          <w:tcPr>
            <w:tcW w:w="2693" w:type="dxa"/>
            <w:gridSpan w:val="2"/>
          </w:tcPr>
          <w:p w:rsidR="006C05DE" w:rsidRPr="00E80177" w:rsidRDefault="006C05DE" w:rsidP="0059710C">
            <w:pPr>
              <w:pStyle w:val="TableBody"/>
              <w:rPr>
                <w:rFonts w:ascii="Times New Roman" w:eastAsiaTheme="minorEastAsia" w:hAnsi="Times New Roman"/>
                <w:sz w:val="22"/>
                <w:szCs w:val="22"/>
              </w:rPr>
            </w:pPr>
            <w:r w:rsidRPr="00E80177">
              <w:rPr>
                <w:rFonts w:ascii="Times New Roman" w:eastAsiaTheme="minorEastAsia" w:hAnsi="Times New Roman"/>
                <w:sz w:val="22"/>
                <w:szCs w:val="22"/>
              </w:rPr>
              <w:t>84.02(3)</w:t>
            </w:r>
          </w:p>
        </w:tc>
      </w:tr>
      <w:tr w:rsidR="006C05DE" w:rsidRPr="00E80177">
        <w:tc>
          <w:tcPr>
            <w:tcW w:w="1638" w:type="dxa"/>
          </w:tcPr>
          <w:p w:rsidR="006C05DE" w:rsidRPr="00E80177" w:rsidRDefault="006C05DE" w:rsidP="0059710C">
            <w:pPr>
              <w:pStyle w:val="TableBody"/>
              <w:rPr>
                <w:rFonts w:ascii="Times New Roman" w:eastAsia="宋体" w:hAnsi="Times New Roman"/>
                <w:i/>
                <w:sz w:val="22"/>
                <w:szCs w:val="22"/>
                <w:lang w:eastAsia="zh-CN"/>
              </w:rPr>
            </w:pPr>
            <w:r w:rsidRPr="00E80177">
              <w:rPr>
                <w:rFonts w:ascii="Times New Roman" w:hAnsi="Times New Roman"/>
                <w:i/>
                <w:sz w:val="22"/>
                <w:szCs w:val="22"/>
              </w:rPr>
              <w:sym w:font="Symbol" w:char="F062"/>
            </w:r>
            <w:r w:rsidRPr="00E80177">
              <w:rPr>
                <w:rFonts w:ascii="Times New Roman" w:hAnsi="Times New Roman"/>
                <w:sz w:val="22"/>
                <w:szCs w:val="22"/>
              </w:rPr>
              <w:t xml:space="preserve"> [</w:t>
            </w:r>
            <w:r w:rsidRPr="00E80177">
              <w:rPr>
                <w:rFonts w:ascii="Times New Roman" w:hAnsi="Times New Roman"/>
                <w:sz w:val="22"/>
                <w:szCs w:val="22"/>
              </w:rPr>
              <w:sym w:font="Symbol" w:char="F0B0"/>
            </w:r>
            <w:r w:rsidRPr="00E80177">
              <w:rPr>
                <w:rFonts w:ascii="Times New Roman" w:hAnsi="Times New Roman"/>
                <w:sz w:val="22"/>
                <w:szCs w:val="22"/>
              </w:rPr>
              <w:t>]</w:t>
            </w:r>
          </w:p>
        </w:tc>
        <w:tc>
          <w:tcPr>
            <w:tcW w:w="2014"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t>9</w:t>
            </w:r>
            <w:r w:rsidRPr="00E80177">
              <w:rPr>
                <w:rFonts w:ascii="Times New Roman" w:eastAsiaTheme="minorEastAsia" w:hAnsi="Times New Roman"/>
                <w:sz w:val="22"/>
                <w:szCs w:val="22"/>
                <w:lang w:eastAsia="zh-CN"/>
              </w:rPr>
              <w:t>0.69</w:t>
            </w:r>
            <w:r w:rsidRPr="00E80177">
              <w:rPr>
                <w:rFonts w:ascii="Times New Roman" w:hAnsi="Times New Roman"/>
                <w:sz w:val="22"/>
                <w:szCs w:val="22"/>
              </w:rPr>
              <w:t>(3)</w:t>
            </w:r>
          </w:p>
        </w:tc>
        <w:tc>
          <w:tcPr>
            <w:tcW w:w="2693" w:type="dxa"/>
            <w:gridSpan w:val="2"/>
          </w:tcPr>
          <w:p w:rsidR="006C05DE" w:rsidRPr="00E80177" w:rsidRDefault="006C05DE" w:rsidP="0059710C">
            <w:pPr>
              <w:pStyle w:val="TableBody"/>
              <w:rPr>
                <w:rFonts w:ascii="Times New Roman" w:hAnsi="Times New Roman"/>
                <w:sz w:val="22"/>
                <w:szCs w:val="22"/>
              </w:rPr>
            </w:pPr>
            <w:r w:rsidRPr="00E80177">
              <w:rPr>
                <w:rFonts w:ascii="Times New Roman" w:eastAsiaTheme="minorEastAsia" w:hAnsi="Times New Roman"/>
                <w:sz w:val="22"/>
                <w:szCs w:val="22"/>
                <w:lang w:eastAsia="zh-CN"/>
              </w:rPr>
              <w:t>74</w:t>
            </w:r>
            <w:r w:rsidRPr="00E80177">
              <w:rPr>
                <w:rFonts w:ascii="Times New Roman" w:hAnsi="Times New Roman"/>
                <w:sz w:val="22"/>
                <w:szCs w:val="22"/>
              </w:rPr>
              <w:t>.</w:t>
            </w:r>
            <w:r w:rsidRPr="00E80177">
              <w:rPr>
                <w:rFonts w:ascii="Times New Roman" w:eastAsiaTheme="minorEastAsia" w:hAnsi="Times New Roman"/>
                <w:sz w:val="22"/>
                <w:szCs w:val="22"/>
                <w:lang w:eastAsia="zh-CN"/>
              </w:rPr>
              <w:t>69</w:t>
            </w:r>
            <w:r w:rsidRPr="00E80177">
              <w:rPr>
                <w:rFonts w:ascii="Times New Roman" w:hAnsi="Times New Roman"/>
                <w:sz w:val="22"/>
                <w:szCs w:val="22"/>
              </w:rPr>
              <w:t>(3)</w:t>
            </w:r>
          </w:p>
        </w:tc>
      </w:tr>
      <w:tr w:rsidR="006C05DE" w:rsidRPr="00E80177">
        <w:tc>
          <w:tcPr>
            <w:tcW w:w="1638" w:type="dxa"/>
          </w:tcPr>
          <w:p w:rsidR="006C05DE" w:rsidRPr="00E80177" w:rsidRDefault="006C05DE" w:rsidP="0059710C">
            <w:pPr>
              <w:pStyle w:val="TableBody"/>
              <w:rPr>
                <w:rFonts w:ascii="Times New Roman" w:eastAsia="宋体" w:hAnsi="Times New Roman"/>
                <w:sz w:val="22"/>
                <w:szCs w:val="22"/>
                <w:lang w:eastAsia="zh-CN"/>
              </w:rPr>
            </w:pPr>
            <w:r w:rsidRPr="00E80177">
              <w:rPr>
                <w:rFonts w:ascii="Times New Roman" w:hAnsi="Times New Roman"/>
                <w:sz w:val="22"/>
                <w:szCs w:val="22"/>
              </w:rPr>
              <w:t>γ</w:t>
            </w:r>
            <w:r w:rsidRPr="00E80177">
              <w:rPr>
                <w:rFonts w:ascii="Times New Roman" w:eastAsia="宋体" w:hAnsi="Times New Roman"/>
                <w:sz w:val="22"/>
                <w:szCs w:val="22"/>
                <w:lang w:eastAsia="zh-CN"/>
              </w:rPr>
              <w:t xml:space="preserve"> </w:t>
            </w:r>
            <w:r w:rsidRPr="00E80177">
              <w:rPr>
                <w:rFonts w:ascii="Times New Roman" w:hAnsi="Times New Roman"/>
                <w:sz w:val="22"/>
                <w:szCs w:val="22"/>
              </w:rPr>
              <w:t>[</w:t>
            </w:r>
            <w:r w:rsidRPr="00E80177">
              <w:rPr>
                <w:rFonts w:ascii="Times New Roman" w:hAnsi="Times New Roman"/>
                <w:sz w:val="22"/>
                <w:szCs w:val="22"/>
              </w:rPr>
              <w:sym w:font="Symbol" w:char="F0B0"/>
            </w:r>
            <w:r w:rsidRPr="00E80177">
              <w:rPr>
                <w:rFonts w:ascii="Times New Roman" w:hAnsi="Times New Roman"/>
                <w:sz w:val="22"/>
                <w:szCs w:val="22"/>
              </w:rPr>
              <w:t>]</w:t>
            </w:r>
          </w:p>
        </w:tc>
        <w:tc>
          <w:tcPr>
            <w:tcW w:w="2014"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t>90</w:t>
            </w:r>
          </w:p>
        </w:tc>
        <w:tc>
          <w:tcPr>
            <w:tcW w:w="2693" w:type="dxa"/>
            <w:gridSpan w:val="2"/>
          </w:tcPr>
          <w:p w:rsidR="006C05DE" w:rsidRPr="00E80177" w:rsidRDefault="006C05DE" w:rsidP="0059710C">
            <w:pPr>
              <w:pStyle w:val="TableBody"/>
              <w:rPr>
                <w:rFonts w:ascii="Times New Roman" w:eastAsiaTheme="minorEastAsia" w:hAnsi="Times New Roman"/>
                <w:sz w:val="22"/>
                <w:szCs w:val="22"/>
              </w:rPr>
            </w:pPr>
            <w:r w:rsidRPr="00E80177">
              <w:rPr>
                <w:rFonts w:ascii="Times New Roman" w:eastAsiaTheme="minorEastAsia" w:hAnsi="Times New Roman"/>
                <w:sz w:val="22"/>
                <w:szCs w:val="22"/>
              </w:rPr>
              <w:t>65.01(3)</w:t>
            </w:r>
          </w:p>
        </w:tc>
      </w:tr>
      <w:tr w:rsidR="006C05DE" w:rsidRPr="00E80177">
        <w:tc>
          <w:tcPr>
            <w:tcW w:w="1638"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i/>
                <w:sz w:val="22"/>
                <w:szCs w:val="22"/>
              </w:rPr>
              <w:t>V</w:t>
            </w:r>
            <w:r w:rsidRPr="00E80177">
              <w:rPr>
                <w:rFonts w:ascii="Times New Roman" w:hAnsi="Times New Roman"/>
                <w:sz w:val="22"/>
                <w:szCs w:val="22"/>
              </w:rPr>
              <w:t xml:space="preserve"> [Å</w:t>
            </w:r>
            <w:r w:rsidRPr="00E80177">
              <w:rPr>
                <w:rFonts w:ascii="Times New Roman" w:hAnsi="Times New Roman"/>
                <w:sz w:val="22"/>
                <w:szCs w:val="22"/>
                <w:vertAlign w:val="superscript"/>
              </w:rPr>
              <w:t>3</w:t>
            </w:r>
            <w:r w:rsidRPr="00E80177">
              <w:rPr>
                <w:rFonts w:ascii="Times New Roman" w:hAnsi="Times New Roman"/>
                <w:sz w:val="22"/>
                <w:szCs w:val="22"/>
              </w:rPr>
              <w:t>]</w:t>
            </w:r>
          </w:p>
        </w:tc>
        <w:tc>
          <w:tcPr>
            <w:tcW w:w="2014" w:type="dxa"/>
          </w:tcPr>
          <w:p w:rsidR="006C05DE" w:rsidRPr="00E80177" w:rsidRDefault="006C05DE" w:rsidP="0059710C">
            <w:pPr>
              <w:pStyle w:val="TableBody"/>
              <w:rPr>
                <w:rFonts w:ascii="Times New Roman" w:hAnsi="Times New Roman"/>
                <w:sz w:val="22"/>
                <w:szCs w:val="22"/>
              </w:rPr>
            </w:pPr>
            <w:r w:rsidRPr="00E80177">
              <w:rPr>
                <w:rFonts w:ascii="Times New Roman" w:eastAsiaTheme="minorEastAsia" w:hAnsi="Times New Roman"/>
                <w:sz w:val="22"/>
                <w:szCs w:val="22"/>
              </w:rPr>
              <w:t>544.80</w:t>
            </w:r>
            <w:r w:rsidRPr="00E80177">
              <w:rPr>
                <w:rFonts w:ascii="Times New Roman" w:hAnsi="Times New Roman"/>
                <w:sz w:val="22"/>
                <w:szCs w:val="22"/>
              </w:rPr>
              <w:t>(</w:t>
            </w:r>
            <w:r w:rsidRPr="00E80177">
              <w:rPr>
                <w:rFonts w:ascii="Times New Roman" w:eastAsiaTheme="minorEastAsia" w:hAnsi="Times New Roman"/>
                <w:sz w:val="22"/>
                <w:szCs w:val="22"/>
              </w:rPr>
              <w:t>18</w:t>
            </w:r>
            <w:r w:rsidRPr="00E80177">
              <w:rPr>
                <w:rFonts w:ascii="Times New Roman" w:hAnsi="Times New Roman"/>
                <w:sz w:val="22"/>
                <w:szCs w:val="22"/>
              </w:rPr>
              <w:t>)</w:t>
            </w:r>
          </w:p>
        </w:tc>
        <w:tc>
          <w:tcPr>
            <w:tcW w:w="2693" w:type="dxa"/>
            <w:gridSpan w:val="2"/>
          </w:tcPr>
          <w:p w:rsidR="006C05DE" w:rsidRPr="00E80177" w:rsidRDefault="006C05DE" w:rsidP="0059710C">
            <w:pPr>
              <w:pStyle w:val="TableBody"/>
              <w:rPr>
                <w:rFonts w:ascii="Times New Roman" w:hAnsi="Times New Roman"/>
                <w:sz w:val="22"/>
                <w:szCs w:val="22"/>
              </w:rPr>
            </w:pPr>
            <w:r w:rsidRPr="00E80177">
              <w:rPr>
                <w:rFonts w:ascii="Times New Roman" w:eastAsiaTheme="minorEastAsia" w:hAnsi="Times New Roman"/>
                <w:sz w:val="22"/>
                <w:szCs w:val="22"/>
              </w:rPr>
              <w:t>575.0</w:t>
            </w:r>
            <w:r w:rsidRPr="00E80177">
              <w:rPr>
                <w:rFonts w:ascii="Times New Roman" w:hAnsi="Times New Roman"/>
                <w:sz w:val="22"/>
                <w:szCs w:val="22"/>
              </w:rPr>
              <w:t>(</w:t>
            </w:r>
            <w:r w:rsidRPr="00E80177">
              <w:rPr>
                <w:rFonts w:ascii="Times New Roman" w:eastAsiaTheme="minorEastAsia" w:hAnsi="Times New Roman"/>
                <w:sz w:val="22"/>
                <w:szCs w:val="22"/>
              </w:rPr>
              <w:t>2</w:t>
            </w:r>
            <w:r w:rsidRPr="00E80177">
              <w:rPr>
                <w:rFonts w:ascii="Times New Roman" w:hAnsi="Times New Roman"/>
                <w:sz w:val="22"/>
                <w:szCs w:val="22"/>
              </w:rPr>
              <w:t>)</w:t>
            </w:r>
          </w:p>
        </w:tc>
      </w:tr>
      <w:tr w:rsidR="006C05DE" w:rsidRPr="00E80177">
        <w:tc>
          <w:tcPr>
            <w:tcW w:w="1638"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t>Z</w:t>
            </w:r>
          </w:p>
        </w:tc>
        <w:tc>
          <w:tcPr>
            <w:tcW w:w="2014" w:type="dxa"/>
          </w:tcPr>
          <w:p w:rsidR="006C05DE" w:rsidRPr="00E80177" w:rsidRDefault="006C05DE" w:rsidP="0059710C">
            <w:pPr>
              <w:pStyle w:val="TableBody"/>
              <w:rPr>
                <w:rFonts w:ascii="Times New Roman" w:eastAsia="宋体" w:hAnsi="Times New Roman"/>
                <w:sz w:val="22"/>
                <w:szCs w:val="22"/>
              </w:rPr>
            </w:pPr>
            <w:r w:rsidRPr="00E80177">
              <w:rPr>
                <w:rFonts w:ascii="Times New Roman" w:hAnsi="Times New Roman"/>
                <w:sz w:val="22"/>
                <w:szCs w:val="22"/>
              </w:rPr>
              <w:t>2</w:t>
            </w:r>
          </w:p>
        </w:tc>
        <w:tc>
          <w:tcPr>
            <w:tcW w:w="2693" w:type="dxa"/>
            <w:gridSpan w:val="2"/>
          </w:tcPr>
          <w:p w:rsidR="006C05DE" w:rsidRPr="00E80177" w:rsidRDefault="006C05DE" w:rsidP="0059710C">
            <w:pPr>
              <w:pStyle w:val="TableBody"/>
              <w:rPr>
                <w:rFonts w:ascii="Times New Roman" w:eastAsia="宋体" w:hAnsi="Times New Roman"/>
                <w:sz w:val="22"/>
                <w:szCs w:val="22"/>
              </w:rPr>
            </w:pPr>
            <w:r w:rsidRPr="00E80177">
              <w:rPr>
                <w:rFonts w:ascii="Times New Roman" w:hAnsi="Times New Roman"/>
                <w:sz w:val="22"/>
                <w:szCs w:val="22"/>
              </w:rPr>
              <w:t>2</w:t>
            </w:r>
          </w:p>
        </w:tc>
      </w:tr>
      <w:tr w:rsidR="006C05DE" w:rsidRPr="00E80177">
        <w:tc>
          <w:tcPr>
            <w:tcW w:w="1638"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sym w:font="Symbol" w:char="F072"/>
            </w:r>
            <w:r w:rsidRPr="00E80177">
              <w:rPr>
                <w:rFonts w:ascii="Times New Roman" w:hAnsi="Times New Roman"/>
                <w:sz w:val="22"/>
                <w:szCs w:val="22"/>
                <w:vertAlign w:val="subscript"/>
              </w:rPr>
              <w:t>calc</w:t>
            </w:r>
            <w:r w:rsidRPr="00E80177">
              <w:rPr>
                <w:rFonts w:ascii="Times New Roman" w:hAnsi="Times New Roman"/>
                <w:sz w:val="22"/>
                <w:szCs w:val="22"/>
              </w:rPr>
              <w:t xml:space="preserve"> [g cm</w:t>
            </w:r>
            <w:r w:rsidRPr="00E80177">
              <w:rPr>
                <w:rFonts w:ascii="Times New Roman" w:hAnsi="Times New Roman"/>
                <w:sz w:val="22"/>
                <w:szCs w:val="22"/>
                <w:vertAlign w:val="superscript"/>
              </w:rPr>
              <w:t>-3</w:t>
            </w:r>
            <w:r w:rsidRPr="00E80177">
              <w:rPr>
                <w:rFonts w:ascii="Times New Roman" w:hAnsi="Times New Roman"/>
                <w:sz w:val="22"/>
                <w:szCs w:val="22"/>
              </w:rPr>
              <w:t>]</w:t>
            </w:r>
          </w:p>
        </w:tc>
        <w:tc>
          <w:tcPr>
            <w:tcW w:w="2014" w:type="dxa"/>
          </w:tcPr>
          <w:p w:rsidR="006C05DE" w:rsidRPr="00E80177" w:rsidRDefault="006C05DE" w:rsidP="0059710C">
            <w:pPr>
              <w:pStyle w:val="TableBody"/>
              <w:rPr>
                <w:rFonts w:ascii="Times New Roman" w:eastAsiaTheme="minorEastAsia" w:hAnsi="Times New Roman"/>
                <w:sz w:val="22"/>
                <w:szCs w:val="22"/>
              </w:rPr>
            </w:pPr>
            <w:r w:rsidRPr="00E80177">
              <w:rPr>
                <w:rFonts w:ascii="Times New Roman" w:hAnsi="Times New Roman"/>
                <w:sz w:val="22"/>
                <w:szCs w:val="22"/>
              </w:rPr>
              <w:t>2.</w:t>
            </w:r>
            <w:r w:rsidRPr="00E80177">
              <w:rPr>
                <w:rFonts w:ascii="Times New Roman" w:eastAsiaTheme="minorEastAsia" w:hAnsi="Times New Roman"/>
                <w:sz w:val="22"/>
                <w:szCs w:val="22"/>
              </w:rPr>
              <w:t>322</w:t>
            </w:r>
          </w:p>
        </w:tc>
        <w:tc>
          <w:tcPr>
            <w:tcW w:w="2693" w:type="dxa"/>
            <w:gridSpan w:val="2"/>
          </w:tcPr>
          <w:p w:rsidR="006C05DE" w:rsidRPr="00E80177" w:rsidRDefault="006C05DE" w:rsidP="0059710C">
            <w:pPr>
              <w:pStyle w:val="TableBody"/>
              <w:rPr>
                <w:rFonts w:ascii="Times New Roman" w:eastAsiaTheme="minorEastAsia" w:hAnsi="Times New Roman"/>
                <w:sz w:val="22"/>
                <w:szCs w:val="22"/>
              </w:rPr>
            </w:pPr>
            <w:r w:rsidRPr="00E80177">
              <w:rPr>
                <w:rFonts w:ascii="Times New Roman" w:eastAsiaTheme="minorEastAsia" w:hAnsi="Times New Roman"/>
                <w:sz w:val="22"/>
                <w:szCs w:val="22"/>
              </w:rPr>
              <w:t>2.714</w:t>
            </w:r>
          </w:p>
        </w:tc>
      </w:tr>
      <w:tr w:rsidR="006C05DE" w:rsidRPr="00E80177">
        <w:tc>
          <w:tcPr>
            <w:tcW w:w="1638"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sym w:font="Symbol" w:char="F06D"/>
            </w:r>
            <w:r w:rsidRPr="00E80177">
              <w:rPr>
                <w:rFonts w:ascii="Times New Roman" w:hAnsi="Times New Roman"/>
                <w:sz w:val="22"/>
                <w:szCs w:val="22"/>
              </w:rPr>
              <w:t xml:space="preserve"> (</w:t>
            </w:r>
            <w:r w:rsidRPr="00E80177">
              <w:rPr>
                <w:rFonts w:ascii="Times New Roman" w:eastAsiaTheme="minorEastAsia" w:hAnsi="Times New Roman"/>
                <w:sz w:val="22"/>
                <w:szCs w:val="22"/>
                <w:lang w:eastAsia="zh-CN"/>
              </w:rPr>
              <w:t>Synchrotron</w:t>
            </w:r>
            <w:r w:rsidRPr="00E80177">
              <w:rPr>
                <w:rFonts w:ascii="Times New Roman" w:hAnsi="Times New Roman"/>
                <w:sz w:val="22"/>
                <w:szCs w:val="22"/>
              </w:rPr>
              <w:t>) [mm</w:t>
            </w:r>
            <w:r w:rsidRPr="00E80177">
              <w:rPr>
                <w:rFonts w:ascii="Times New Roman" w:hAnsi="Times New Roman"/>
                <w:sz w:val="22"/>
                <w:szCs w:val="22"/>
                <w:vertAlign w:val="superscript"/>
              </w:rPr>
              <w:t>-1</w:t>
            </w:r>
            <w:r w:rsidRPr="00E80177">
              <w:rPr>
                <w:rFonts w:ascii="Times New Roman" w:hAnsi="Times New Roman"/>
                <w:sz w:val="22"/>
                <w:szCs w:val="22"/>
              </w:rPr>
              <w:t>]</w:t>
            </w:r>
          </w:p>
        </w:tc>
        <w:tc>
          <w:tcPr>
            <w:tcW w:w="2014"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t>0.</w:t>
            </w:r>
            <w:r w:rsidRPr="00E80177">
              <w:rPr>
                <w:rFonts w:ascii="Times New Roman" w:eastAsiaTheme="minorEastAsia" w:hAnsi="Times New Roman"/>
                <w:sz w:val="22"/>
                <w:szCs w:val="22"/>
                <w:lang w:eastAsia="zh-CN"/>
              </w:rPr>
              <w:t>4</w:t>
            </w:r>
            <w:r w:rsidRPr="00E80177">
              <w:rPr>
                <w:rFonts w:ascii="Times New Roman" w:hAnsi="Times New Roman"/>
                <w:sz w:val="22"/>
                <w:szCs w:val="22"/>
              </w:rPr>
              <w:t>1</w:t>
            </w:r>
            <w:r w:rsidRPr="00E80177">
              <w:rPr>
                <w:rFonts w:ascii="Times New Roman" w:eastAsiaTheme="minorEastAsia" w:hAnsi="Times New Roman"/>
                <w:sz w:val="22"/>
                <w:szCs w:val="22"/>
                <w:lang w:eastAsia="zh-CN"/>
              </w:rPr>
              <w:t>3</w:t>
            </w:r>
          </w:p>
        </w:tc>
        <w:tc>
          <w:tcPr>
            <w:tcW w:w="2693" w:type="dxa"/>
            <w:gridSpan w:val="2"/>
          </w:tcPr>
          <w:p w:rsidR="006C05DE" w:rsidRPr="00E80177" w:rsidRDefault="006C05DE" w:rsidP="0059710C">
            <w:pPr>
              <w:pStyle w:val="TableBody"/>
              <w:rPr>
                <w:rFonts w:ascii="Times New Roman" w:eastAsiaTheme="minorEastAsia" w:hAnsi="Times New Roman"/>
                <w:sz w:val="22"/>
                <w:szCs w:val="22"/>
              </w:rPr>
            </w:pPr>
            <w:r w:rsidRPr="00E80177">
              <w:rPr>
                <w:rFonts w:ascii="Times New Roman" w:hAnsi="Times New Roman"/>
                <w:sz w:val="22"/>
                <w:szCs w:val="22"/>
              </w:rPr>
              <w:t>0.</w:t>
            </w:r>
            <w:r w:rsidRPr="00E80177">
              <w:rPr>
                <w:rFonts w:ascii="Times New Roman" w:eastAsiaTheme="minorEastAsia" w:hAnsi="Times New Roman"/>
                <w:sz w:val="22"/>
                <w:szCs w:val="22"/>
              </w:rPr>
              <w:t>413</w:t>
            </w:r>
          </w:p>
        </w:tc>
      </w:tr>
      <w:tr w:rsidR="006C05DE" w:rsidRPr="00E80177">
        <w:tc>
          <w:tcPr>
            <w:tcW w:w="1638"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t>Reflections collected</w:t>
            </w:r>
          </w:p>
        </w:tc>
        <w:tc>
          <w:tcPr>
            <w:tcW w:w="2014" w:type="dxa"/>
          </w:tcPr>
          <w:p w:rsidR="006C05DE" w:rsidRPr="00E80177" w:rsidRDefault="006C05DE" w:rsidP="0059710C">
            <w:pPr>
              <w:pStyle w:val="TableBody"/>
              <w:rPr>
                <w:rFonts w:ascii="Times New Roman" w:eastAsia="宋体" w:hAnsi="Times New Roman"/>
                <w:sz w:val="22"/>
                <w:szCs w:val="22"/>
              </w:rPr>
            </w:pPr>
            <w:r w:rsidRPr="00E80177">
              <w:rPr>
                <w:rFonts w:ascii="Times New Roman" w:eastAsia="宋体" w:hAnsi="Times New Roman"/>
                <w:sz w:val="22"/>
                <w:szCs w:val="22"/>
              </w:rPr>
              <w:t>8855</w:t>
            </w:r>
          </w:p>
        </w:tc>
        <w:tc>
          <w:tcPr>
            <w:tcW w:w="2693" w:type="dxa"/>
            <w:gridSpan w:val="2"/>
          </w:tcPr>
          <w:p w:rsidR="006C05DE" w:rsidRPr="00E80177" w:rsidRDefault="006C05DE" w:rsidP="0059710C">
            <w:pPr>
              <w:pStyle w:val="TableBody"/>
              <w:rPr>
                <w:rFonts w:ascii="Times New Roman" w:eastAsiaTheme="minorEastAsia" w:hAnsi="Times New Roman"/>
                <w:sz w:val="22"/>
                <w:szCs w:val="22"/>
              </w:rPr>
            </w:pPr>
            <w:r w:rsidRPr="00E80177">
              <w:rPr>
                <w:rFonts w:ascii="Times New Roman" w:eastAsiaTheme="minorEastAsia" w:hAnsi="Times New Roman"/>
                <w:sz w:val="22"/>
                <w:szCs w:val="22"/>
              </w:rPr>
              <w:t>5294</w:t>
            </w:r>
          </w:p>
        </w:tc>
      </w:tr>
      <w:tr w:rsidR="006C05DE" w:rsidRPr="00E80177">
        <w:tc>
          <w:tcPr>
            <w:tcW w:w="1638"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t>Unique reflections</w:t>
            </w:r>
          </w:p>
        </w:tc>
        <w:tc>
          <w:tcPr>
            <w:tcW w:w="2014" w:type="dxa"/>
          </w:tcPr>
          <w:p w:rsidR="006C05DE" w:rsidRPr="00E80177" w:rsidRDefault="006C05DE" w:rsidP="0059710C">
            <w:pPr>
              <w:pStyle w:val="TableBody"/>
              <w:rPr>
                <w:rFonts w:ascii="Times New Roman" w:eastAsia="宋体" w:hAnsi="Times New Roman"/>
                <w:sz w:val="22"/>
                <w:szCs w:val="22"/>
              </w:rPr>
            </w:pPr>
            <w:r w:rsidRPr="00E80177">
              <w:rPr>
                <w:rFonts w:ascii="Times New Roman" w:eastAsia="宋体" w:hAnsi="Times New Roman"/>
                <w:sz w:val="22"/>
                <w:szCs w:val="22"/>
              </w:rPr>
              <w:t>811</w:t>
            </w:r>
          </w:p>
        </w:tc>
        <w:tc>
          <w:tcPr>
            <w:tcW w:w="2693" w:type="dxa"/>
            <w:gridSpan w:val="2"/>
          </w:tcPr>
          <w:p w:rsidR="006C05DE" w:rsidRPr="00E80177" w:rsidRDefault="006C05DE" w:rsidP="0059710C">
            <w:pPr>
              <w:pStyle w:val="TableBody"/>
              <w:rPr>
                <w:rFonts w:ascii="Times New Roman" w:eastAsiaTheme="minorEastAsia" w:hAnsi="Times New Roman"/>
                <w:sz w:val="22"/>
                <w:szCs w:val="22"/>
              </w:rPr>
            </w:pPr>
            <w:r w:rsidRPr="00E80177">
              <w:rPr>
                <w:rFonts w:ascii="Times New Roman" w:eastAsiaTheme="minorEastAsia" w:hAnsi="Times New Roman"/>
                <w:sz w:val="22"/>
                <w:szCs w:val="22"/>
              </w:rPr>
              <w:t>5294</w:t>
            </w:r>
          </w:p>
        </w:tc>
      </w:tr>
      <w:tr w:rsidR="006C05DE" w:rsidRPr="00E80177">
        <w:tc>
          <w:tcPr>
            <w:tcW w:w="1638"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t>Reflections with I &gt;2</w:t>
            </w:r>
            <w:r w:rsidRPr="00E80177">
              <w:rPr>
                <w:rFonts w:ascii="Times New Roman" w:hAnsi="Times New Roman"/>
                <w:sz w:val="22"/>
                <w:szCs w:val="22"/>
              </w:rPr>
              <w:sym w:font="Symbol" w:char="F073"/>
            </w:r>
            <w:r w:rsidRPr="00E80177">
              <w:rPr>
                <w:rFonts w:ascii="Times New Roman" w:hAnsi="Times New Roman"/>
                <w:sz w:val="22"/>
                <w:szCs w:val="22"/>
              </w:rPr>
              <w:t>(I)</w:t>
            </w:r>
          </w:p>
        </w:tc>
        <w:tc>
          <w:tcPr>
            <w:tcW w:w="2014" w:type="dxa"/>
          </w:tcPr>
          <w:p w:rsidR="006C05DE" w:rsidRPr="00E80177" w:rsidRDefault="006C05DE" w:rsidP="0059710C">
            <w:pPr>
              <w:pStyle w:val="TableBody"/>
              <w:rPr>
                <w:rFonts w:ascii="Times New Roman" w:eastAsia="宋体" w:hAnsi="Times New Roman"/>
                <w:sz w:val="22"/>
                <w:szCs w:val="22"/>
              </w:rPr>
            </w:pPr>
            <w:r w:rsidRPr="00E80177">
              <w:rPr>
                <w:rFonts w:ascii="Times New Roman" w:eastAsia="宋体" w:hAnsi="Times New Roman"/>
                <w:sz w:val="22"/>
                <w:szCs w:val="22"/>
              </w:rPr>
              <w:t>980</w:t>
            </w:r>
          </w:p>
        </w:tc>
        <w:tc>
          <w:tcPr>
            <w:tcW w:w="2693" w:type="dxa"/>
            <w:gridSpan w:val="2"/>
          </w:tcPr>
          <w:p w:rsidR="006C05DE" w:rsidRPr="00E80177" w:rsidRDefault="006C05DE" w:rsidP="0059710C">
            <w:pPr>
              <w:pStyle w:val="TableBody"/>
              <w:rPr>
                <w:rFonts w:ascii="Times New Roman" w:eastAsiaTheme="minorEastAsia" w:hAnsi="Times New Roman"/>
                <w:sz w:val="22"/>
                <w:szCs w:val="22"/>
              </w:rPr>
            </w:pPr>
            <w:r w:rsidRPr="00E80177">
              <w:rPr>
                <w:rFonts w:ascii="Times New Roman" w:hAnsi="Times New Roman"/>
                <w:sz w:val="22"/>
                <w:szCs w:val="22"/>
              </w:rPr>
              <w:t>3467</w:t>
            </w:r>
          </w:p>
        </w:tc>
      </w:tr>
      <w:tr w:rsidR="006C05DE" w:rsidRPr="00E80177">
        <w:tc>
          <w:tcPr>
            <w:tcW w:w="1638"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t>Parameters</w:t>
            </w:r>
          </w:p>
        </w:tc>
        <w:tc>
          <w:tcPr>
            <w:tcW w:w="2014" w:type="dxa"/>
          </w:tcPr>
          <w:p w:rsidR="006C05DE" w:rsidRPr="00E80177" w:rsidRDefault="006C05DE" w:rsidP="0059710C">
            <w:pPr>
              <w:pStyle w:val="TableBody"/>
              <w:rPr>
                <w:rFonts w:ascii="Times New Roman" w:eastAsia="宋体" w:hAnsi="Times New Roman"/>
                <w:sz w:val="22"/>
                <w:szCs w:val="22"/>
              </w:rPr>
            </w:pPr>
            <w:r w:rsidRPr="00E80177">
              <w:rPr>
                <w:rFonts w:ascii="Times New Roman" w:eastAsia="宋体" w:hAnsi="Times New Roman"/>
                <w:sz w:val="22"/>
                <w:szCs w:val="22"/>
              </w:rPr>
              <w:t>47</w:t>
            </w:r>
          </w:p>
        </w:tc>
        <w:tc>
          <w:tcPr>
            <w:tcW w:w="2693" w:type="dxa"/>
            <w:gridSpan w:val="2"/>
          </w:tcPr>
          <w:p w:rsidR="006C05DE" w:rsidRPr="00E80177" w:rsidRDefault="006C05DE" w:rsidP="0059710C">
            <w:pPr>
              <w:pStyle w:val="TableBody"/>
              <w:rPr>
                <w:rFonts w:ascii="Times New Roman" w:eastAsia="宋体" w:hAnsi="Times New Roman"/>
                <w:sz w:val="22"/>
                <w:szCs w:val="22"/>
                <w:highlight w:val="yellow"/>
              </w:rPr>
            </w:pPr>
            <w:r w:rsidRPr="00E80177">
              <w:rPr>
                <w:rFonts w:ascii="Times New Roman" w:eastAsia="宋体" w:hAnsi="Times New Roman"/>
                <w:sz w:val="22"/>
                <w:szCs w:val="22"/>
              </w:rPr>
              <w:t>173</w:t>
            </w:r>
          </w:p>
        </w:tc>
      </w:tr>
      <w:tr w:rsidR="006C05DE" w:rsidRPr="00E80177">
        <w:tc>
          <w:tcPr>
            <w:tcW w:w="1638" w:type="dxa"/>
          </w:tcPr>
          <w:p w:rsidR="006C05DE" w:rsidRPr="00E80177" w:rsidRDefault="006C05DE" w:rsidP="0059710C">
            <w:pPr>
              <w:pStyle w:val="TableBody"/>
              <w:rPr>
                <w:rFonts w:ascii="Times New Roman" w:hAnsi="Times New Roman"/>
                <w:sz w:val="22"/>
                <w:szCs w:val="22"/>
              </w:rPr>
            </w:pPr>
            <w:r w:rsidRPr="00E80177">
              <w:rPr>
                <w:rFonts w:ascii="Times New Roman" w:hAnsi="Times New Roman"/>
                <w:i/>
                <w:sz w:val="22"/>
                <w:szCs w:val="22"/>
              </w:rPr>
              <w:t>R</w:t>
            </w:r>
            <w:r w:rsidRPr="00E80177">
              <w:rPr>
                <w:rFonts w:ascii="Times New Roman" w:hAnsi="Times New Roman"/>
                <w:sz w:val="22"/>
                <w:szCs w:val="22"/>
              </w:rPr>
              <w:t>(</w:t>
            </w:r>
            <w:proofErr w:type="spellStart"/>
            <w:r w:rsidRPr="00E80177">
              <w:rPr>
                <w:rFonts w:ascii="Times New Roman" w:hAnsi="Times New Roman"/>
                <w:sz w:val="22"/>
                <w:szCs w:val="22"/>
              </w:rPr>
              <w:t>int</w:t>
            </w:r>
            <w:proofErr w:type="spellEnd"/>
            <w:r w:rsidRPr="00E80177">
              <w:rPr>
                <w:rFonts w:ascii="Times New Roman" w:hAnsi="Times New Roman"/>
                <w:sz w:val="22"/>
                <w:szCs w:val="22"/>
              </w:rPr>
              <w:t>)</w:t>
            </w:r>
          </w:p>
        </w:tc>
        <w:tc>
          <w:tcPr>
            <w:tcW w:w="2014" w:type="dxa"/>
          </w:tcPr>
          <w:p w:rsidR="006C05DE" w:rsidRPr="00E80177" w:rsidRDefault="006C05DE" w:rsidP="0059710C">
            <w:pPr>
              <w:pStyle w:val="TableBody"/>
              <w:rPr>
                <w:rFonts w:ascii="Times New Roman" w:eastAsia="宋体" w:hAnsi="Times New Roman"/>
                <w:sz w:val="22"/>
                <w:szCs w:val="22"/>
              </w:rPr>
            </w:pPr>
            <w:r w:rsidRPr="00E80177">
              <w:rPr>
                <w:rFonts w:ascii="Times New Roman" w:hAnsi="Times New Roman"/>
                <w:sz w:val="22"/>
                <w:szCs w:val="22"/>
              </w:rPr>
              <w:t>0.0</w:t>
            </w:r>
            <w:r w:rsidRPr="00E80177">
              <w:rPr>
                <w:rFonts w:ascii="Times New Roman" w:eastAsia="宋体" w:hAnsi="Times New Roman"/>
                <w:sz w:val="22"/>
                <w:szCs w:val="22"/>
              </w:rPr>
              <w:t>497</w:t>
            </w:r>
          </w:p>
        </w:tc>
        <w:tc>
          <w:tcPr>
            <w:tcW w:w="2693" w:type="dxa"/>
            <w:gridSpan w:val="2"/>
          </w:tcPr>
          <w:p w:rsidR="006C05DE" w:rsidRPr="00E80177" w:rsidRDefault="006C05DE" w:rsidP="0059710C">
            <w:pPr>
              <w:pStyle w:val="TableBody"/>
              <w:rPr>
                <w:rFonts w:ascii="Times New Roman" w:eastAsiaTheme="minorEastAsia" w:hAnsi="Times New Roman"/>
                <w:sz w:val="22"/>
                <w:szCs w:val="22"/>
              </w:rPr>
            </w:pPr>
            <w:r w:rsidRPr="00E80177">
              <w:rPr>
                <w:rFonts w:ascii="Times New Roman" w:hAnsi="Times New Roman"/>
                <w:sz w:val="22"/>
                <w:szCs w:val="22"/>
              </w:rPr>
              <w:t>0.</w:t>
            </w:r>
            <w:r w:rsidRPr="00E80177">
              <w:rPr>
                <w:rFonts w:ascii="Times New Roman" w:eastAsiaTheme="minorEastAsia" w:hAnsi="Times New Roman"/>
                <w:sz w:val="22"/>
                <w:szCs w:val="22"/>
              </w:rPr>
              <w:t>0358 (based on data of the twinning domain that is used for structure resolution and refinement)</w:t>
            </w:r>
          </w:p>
        </w:tc>
      </w:tr>
      <w:tr w:rsidR="006C05DE" w:rsidRPr="00E80177">
        <w:tc>
          <w:tcPr>
            <w:tcW w:w="1638" w:type="dxa"/>
          </w:tcPr>
          <w:p w:rsidR="006C05DE" w:rsidRPr="00E80177" w:rsidRDefault="006C05DE" w:rsidP="0059710C">
            <w:pPr>
              <w:pStyle w:val="TableBody"/>
              <w:rPr>
                <w:rFonts w:ascii="Times New Roman" w:hAnsi="Times New Roman"/>
                <w:sz w:val="22"/>
                <w:szCs w:val="22"/>
                <w:vertAlign w:val="superscript"/>
              </w:rPr>
            </w:pPr>
            <w:r w:rsidRPr="00E80177">
              <w:rPr>
                <w:rFonts w:ascii="Times New Roman" w:hAnsi="Times New Roman"/>
                <w:i/>
                <w:sz w:val="22"/>
                <w:szCs w:val="22"/>
              </w:rPr>
              <w:t>R</w:t>
            </w:r>
            <w:r w:rsidRPr="00E80177">
              <w:rPr>
                <w:rFonts w:ascii="Times New Roman" w:hAnsi="Times New Roman"/>
                <w:sz w:val="22"/>
                <w:szCs w:val="22"/>
              </w:rPr>
              <w:t>1</w:t>
            </w:r>
            <w:r w:rsidRPr="00E80177">
              <w:rPr>
                <w:rFonts w:ascii="Times New Roman" w:hAnsi="Times New Roman"/>
                <w:sz w:val="22"/>
                <w:szCs w:val="22"/>
                <w:vertAlign w:val="superscript"/>
              </w:rPr>
              <w:t>[a]</w:t>
            </w:r>
          </w:p>
        </w:tc>
        <w:tc>
          <w:tcPr>
            <w:tcW w:w="2014" w:type="dxa"/>
          </w:tcPr>
          <w:p w:rsidR="006C05DE" w:rsidRPr="00E80177" w:rsidRDefault="006C05DE" w:rsidP="0059710C">
            <w:pPr>
              <w:pStyle w:val="TableBody"/>
              <w:rPr>
                <w:rFonts w:ascii="Times New Roman" w:eastAsia="宋体" w:hAnsi="Times New Roman"/>
                <w:sz w:val="22"/>
                <w:szCs w:val="22"/>
              </w:rPr>
            </w:pPr>
            <w:r w:rsidRPr="00E80177">
              <w:rPr>
                <w:rFonts w:ascii="Times New Roman" w:hAnsi="Times New Roman"/>
                <w:sz w:val="22"/>
                <w:szCs w:val="22"/>
              </w:rPr>
              <w:t>0.0</w:t>
            </w:r>
            <w:r w:rsidRPr="00E80177">
              <w:rPr>
                <w:rFonts w:ascii="Times New Roman" w:eastAsia="宋体" w:hAnsi="Times New Roman"/>
                <w:sz w:val="22"/>
                <w:szCs w:val="22"/>
              </w:rPr>
              <w:t>392</w:t>
            </w:r>
          </w:p>
        </w:tc>
        <w:tc>
          <w:tcPr>
            <w:tcW w:w="2693" w:type="dxa"/>
            <w:gridSpan w:val="2"/>
          </w:tcPr>
          <w:p w:rsidR="006C05DE" w:rsidRPr="00E80177" w:rsidRDefault="006C05DE" w:rsidP="0059710C">
            <w:pPr>
              <w:pStyle w:val="TableBody"/>
              <w:rPr>
                <w:rFonts w:ascii="Times New Roman" w:eastAsia="宋体" w:hAnsi="Times New Roman"/>
                <w:sz w:val="22"/>
                <w:szCs w:val="22"/>
              </w:rPr>
            </w:pPr>
            <w:r w:rsidRPr="00E80177">
              <w:rPr>
                <w:rFonts w:ascii="Times New Roman" w:hAnsi="Times New Roman"/>
                <w:sz w:val="22"/>
                <w:szCs w:val="22"/>
              </w:rPr>
              <w:t>0.0</w:t>
            </w:r>
            <w:r w:rsidRPr="00E80177">
              <w:rPr>
                <w:rFonts w:ascii="Times New Roman" w:eastAsia="宋体" w:hAnsi="Times New Roman"/>
                <w:sz w:val="22"/>
                <w:szCs w:val="22"/>
              </w:rPr>
              <w:t>643</w:t>
            </w:r>
          </w:p>
        </w:tc>
      </w:tr>
      <w:tr w:rsidR="006C05DE" w:rsidRPr="00E80177">
        <w:tc>
          <w:tcPr>
            <w:tcW w:w="1638" w:type="dxa"/>
          </w:tcPr>
          <w:p w:rsidR="006C05DE" w:rsidRPr="00E80177" w:rsidRDefault="006C05DE" w:rsidP="0059710C">
            <w:pPr>
              <w:pStyle w:val="TableBody"/>
              <w:rPr>
                <w:rFonts w:ascii="Times New Roman" w:hAnsi="Times New Roman"/>
                <w:sz w:val="22"/>
                <w:szCs w:val="22"/>
                <w:vertAlign w:val="superscript"/>
              </w:rPr>
            </w:pPr>
            <w:r w:rsidRPr="00E80177">
              <w:rPr>
                <w:rFonts w:ascii="Times New Roman" w:hAnsi="Times New Roman"/>
                <w:i/>
                <w:sz w:val="22"/>
                <w:szCs w:val="22"/>
              </w:rPr>
              <w:t>wR</w:t>
            </w:r>
            <w:r w:rsidRPr="00E80177">
              <w:rPr>
                <w:rFonts w:ascii="Times New Roman" w:hAnsi="Times New Roman"/>
                <w:sz w:val="22"/>
                <w:szCs w:val="22"/>
              </w:rPr>
              <w:t>2</w:t>
            </w:r>
            <w:r w:rsidRPr="00E80177">
              <w:rPr>
                <w:rFonts w:ascii="Times New Roman" w:hAnsi="Times New Roman"/>
                <w:sz w:val="22"/>
                <w:szCs w:val="22"/>
                <w:vertAlign w:val="superscript"/>
              </w:rPr>
              <w:t>[b]</w:t>
            </w:r>
          </w:p>
        </w:tc>
        <w:tc>
          <w:tcPr>
            <w:tcW w:w="2014" w:type="dxa"/>
          </w:tcPr>
          <w:p w:rsidR="006C05DE" w:rsidRPr="00E80177" w:rsidRDefault="006C05DE" w:rsidP="0059710C">
            <w:pPr>
              <w:pStyle w:val="TableBody"/>
              <w:rPr>
                <w:rFonts w:ascii="Times New Roman" w:eastAsia="宋体" w:hAnsi="Times New Roman"/>
                <w:sz w:val="22"/>
                <w:szCs w:val="22"/>
              </w:rPr>
            </w:pPr>
            <w:r w:rsidRPr="00E80177">
              <w:rPr>
                <w:rFonts w:ascii="Times New Roman" w:hAnsi="Times New Roman"/>
                <w:sz w:val="22"/>
                <w:szCs w:val="22"/>
              </w:rPr>
              <w:t>0.</w:t>
            </w:r>
            <w:r w:rsidRPr="00E80177">
              <w:rPr>
                <w:rFonts w:ascii="Times New Roman" w:eastAsia="宋体" w:hAnsi="Times New Roman"/>
                <w:sz w:val="22"/>
                <w:szCs w:val="22"/>
              </w:rPr>
              <w:t>0906</w:t>
            </w:r>
          </w:p>
        </w:tc>
        <w:tc>
          <w:tcPr>
            <w:tcW w:w="2693" w:type="dxa"/>
            <w:gridSpan w:val="2"/>
          </w:tcPr>
          <w:p w:rsidR="006C05DE" w:rsidRPr="00E80177" w:rsidRDefault="006C05DE" w:rsidP="0059710C">
            <w:pPr>
              <w:pStyle w:val="TableBody"/>
              <w:rPr>
                <w:rFonts w:ascii="Times New Roman" w:eastAsia="宋体" w:hAnsi="Times New Roman"/>
                <w:sz w:val="22"/>
                <w:szCs w:val="22"/>
              </w:rPr>
            </w:pPr>
            <w:r w:rsidRPr="00E80177">
              <w:rPr>
                <w:rFonts w:ascii="Times New Roman" w:hAnsi="Times New Roman"/>
                <w:sz w:val="22"/>
                <w:szCs w:val="22"/>
              </w:rPr>
              <w:t>0.1</w:t>
            </w:r>
            <w:r w:rsidRPr="00E80177">
              <w:rPr>
                <w:rFonts w:ascii="Times New Roman" w:eastAsia="宋体" w:hAnsi="Times New Roman"/>
                <w:sz w:val="22"/>
                <w:szCs w:val="22"/>
              </w:rPr>
              <w:t>502</w:t>
            </w:r>
          </w:p>
        </w:tc>
      </w:tr>
      <w:tr w:rsidR="006C05DE" w:rsidRPr="00E80177">
        <w:tc>
          <w:tcPr>
            <w:tcW w:w="1638" w:type="dxa"/>
            <w:tcBorders>
              <w:bottom w:val="single" w:sz="4" w:space="0" w:color="000000"/>
            </w:tcBorders>
          </w:tcPr>
          <w:p w:rsidR="006C05DE" w:rsidRPr="00E80177" w:rsidRDefault="006C05DE" w:rsidP="0059710C">
            <w:pPr>
              <w:pStyle w:val="TableBody"/>
              <w:rPr>
                <w:rFonts w:ascii="Times New Roman" w:hAnsi="Times New Roman"/>
                <w:sz w:val="22"/>
                <w:szCs w:val="22"/>
              </w:rPr>
            </w:pPr>
            <w:r w:rsidRPr="00E80177">
              <w:rPr>
                <w:rFonts w:ascii="Times New Roman" w:hAnsi="Times New Roman"/>
                <w:sz w:val="22"/>
                <w:szCs w:val="22"/>
              </w:rPr>
              <w:t>GOF</w:t>
            </w:r>
          </w:p>
        </w:tc>
        <w:tc>
          <w:tcPr>
            <w:tcW w:w="2014" w:type="dxa"/>
            <w:tcBorders>
              <w:bottom w:val="single" w:sz="4" w:space="0" w:color="000000"/>
            </w:tcBorders>
          </w:tcPr>
          <w:p w:rsidR="006C05DE" w:rsidRPr="00E80177" w:rsidRDefault="006C05DE" w:rsidP="0059710C">
            <w:pPr>
              <w:pStyle w:val="TableBody"/>
              <w:rPr>
                <w:rFonts w:ascii="Times New Roman" w:eastAsia="宋体" w:hAnsi="Times New Roman"/>
                <w:sz w:val="22"/>
                <w:szCs w:val="22"/>
              </w:rPr>
            </w:pPr>
            <w:r w:rsidRPr="00E80177">
              <w:rPr>
                <w:rFonts w:ascii="Times New Roman" w:hAnsi="Times New Roman"/>
                <w:sz w:val="22"/>
                <w:szCs w:val="22"/>
              </w:rPr>
              <w:t>1.</w:t>
            </w:r>
            <w:r w:rsidRPr="00E80177">
              <w:rPr>
                <w:rFonts w:ascii="Times New Roman" w:eastAsia="宋体" w:hAnsi="Times New Roman"/>
                <w:sz w:val="22"/>
                <w:szCs w:val="22"/>
              </w:rPr>
              <w:t>396</w:t>
            </w:r>
          </w:p>
        </w:tc>
        <w:tc>
          <w:tcPr>
            <w:tcW w:w="2693" w:type="dxa"/>
            <w:gridSpan w:val="2"/>
            <w:tcBorders>
              <w:bottom w:val="single" w:sz="4" w:space="0" w:color="000000"/>
            </w:tcBorders>
          </w:tcPr>
          <w:p w:rsidR="006C05DE" w:rsidRPr="00E80177" w:rsidRDefault="006C05DE" w:rsidP="0059710C">
            <w:pPr>
              <w:pStyle w:val="TableBody"/>
              <w:rPr>
                <w:rFonts w:ascii="Times New Roman" w:eastAsia="宋体" w:hAnsi="Times New Roman"/>
                <w:sz w:val="22"/>
                <w:szCs w:val="22"/>
                <w:lang w:eastAsia="zh-CN"/>
              </w:rPr>
            </w:pPr>
            <w:r w:rsidRPr="00E80177">
              <w:rPr>
                <w:rFonts w:ascii="Times New Roman" w:hAnsi="Times New Roman"/>
                <w:sz w:val="22"/>
                <w:szCs w:val="22"/>
              </w:rPr>
              <w:t>1.024</w:t>
            </w:r>
          </w:p>
        </w:tc>
      </w:tr>
    </w:tbl>
    <w:p w:rsidR="006C05DE" w:rsidRPr="00E7792B" w:rsidRDefault="006C05DE" w:rsidP="006C05DE">
      <w:pPr>
        <w:pStyle w:val="TableFoot"/>
        <w:spacing w:after="0" w:line="240" w:lineRule="auto"/>
        <w:rPr>
          <w:rFonts w:ascii="Times New Roman" w:hAnsi="Times New Roman"/>
          <w:sz w:val="24"/>
          <w:szCs w:val="24"/>
          <w:lang w:val="pl-PL"/>
        </w:rPr>
      </w:pPr>
      <w:r w:rsidRPr="00E80177">
        <w:rPr>
          <w:rFonts w:ascii="Times New Roman" w:hAnsi="Times New Roman"/>
          <w:sz w:val="22"/>
          <w:szCs w:val="22"/>
          <w:lang w:val="pl-PL"/>
        </w:rPr>
        <w:t xml:space="preserve">[a] </w:t>
      </w:r>
      <w:r w:rsidRPr="00E80177">
        <w:rPr>
          <w:rFonts w:ascii="Times New Roman" w:hAnsi="Times New Roman"/>
          <w:i/>
          <w:sz w:val="22"/>
          <w:szCs w:val="22"/>
          <w:lang w:val="pl-PL"/>
        </w:rPr>
        <w:t>R</w:t>
      </w:r>
      <w:r w:rsidRPr="00E80177">
        <w:rPr>
          <w:rFonts w:ascii="Times New Roman" w:hAnsi="Times New Roman"/>
          <w:sz w:val="22"/>
          <w:szCs w:val="22"/>
          <w:lang w:val="pl-PL"/>
        </w:rPr>
        <w:t xml:space="preserve">1 = </w:t>
      </w:r>
      <w:r w:rsidRPr="00E80177">
        <w:rPr>
          <w:rFonts w:ascii="Times New Roman" w:hAnsi="Times New Roman"/>
          <w:sz w:val="22"/>
          <w:szCs w:val="22"/>
        </w:rPr>
        <w:sym w:font="Symbol" w:char="F053"/>
      </w:r>
      <w:r w:rsidRPr="00E80177">
        <w:rPr>
          <w:rFonts w:ascii="Times New Roman" w:hAnsi="Times New Roman"/>
          <w:sz w:val="22"/>
          <w:szCs w:val="22"/>
        </w:rPr>
        <w:sym w:font="Symbol" w:char="F07C"/>
      </w:r>
      <w:r w:rsidRPr="00E80177">
        <w:rPr>
          <w:rFonts w:ascii="Times New Roman" w:hAnsi="Times New Roman"/>
          <w:sz w:val="22"/>
          <w:szCs w:val="22"/>
        </w:rPr>
        <w:sym w:font="Symbol" w:char="F07C"/>
      </w:r>
      <w:r w:rsidRPr="00E80177">
        <w:rPr>
          <w:rFonts w:ascii="Times New Roman" w:hAnsi="Times New Roman"/>
          <w:i/>
          <w:sz w:val="22"/>
          <w:szCs w:val="22"/>
          <w:lang w:val="pl-PL"/>
        </w:rPr>
        <w:t>F</w:t>
      </w:r>
      <w:r w:rsidRPr="00E80177">
        <w:rPr>
          <w:rFonts w:ascii="Times New Roman" w:hAnsi="Times New Roman"/>
          <w:sz w:val="22"/>
          <w:szCs w:val="22"/>
          <w:vertAlign w:val="subscript"/>
          <w:lang w:val="pl-PL"/>
        </w:rPr>
        <w:t>o</w:t>
      </w:r>
      <w:r w:rsidRPr="00E80177">
        <w:rPr>
          <w:rFonts w:ascii="Times New Roman" w:hAnsi="Times New Roman"/>
          <w:sz w:val="22"/>
          <w:szCs w:val="22"/>
        </w:rPr>
        <w:sym w:font="Symbol" w:char="F07C"/>
      </w:r>
      <w:r w:rsidRPr="00E80177">
        <w:rPr>
          <w:rFonts w:ascii="Times New Roman" w:hAnsi="Times New Roman"/>
          <w:sz w:val="22"/>
          <w:szCs w:val="22"/>
          <w:lang w:val="pl-PL"/>
        </w:rPr>
        <w:t xml:space="preserve"> -</w:t>
      </w:r>
      <w:r w:rsidRPr="00E80177">
        <w:rPr>
          <w:rFonts w:ascii="Times New Roman" w:hAnsi="Times New Roman"/>
          <w:sz w:val="22"/>
          <w:szCs w:val="22"/>
        </w:rPr>
        <w:sym w:font="Symbol" w:char="F07C"/>
      </w:r>
      <w:r w:rsidRPr="00E80177">
        <w:rPr>
          <w:rFonts w:ascii="Times New Roman" w:hAnsi="Times New Roman"/>
          <w:i/>
          <w:sz w:val="22"/>
          <w:szCs w:val="22"/>
          <w:lang w:val="pl-PL"/>
        </w:rPr>
        <w:t>F</w:t>
      </w:r>
      <w:r w:rsidRPr="00E80177">
        <w:rPr>
          <w:rFonts w:ascii="Times New Roman" w:hAnsi="Times New Roman"/>
          <w:sz w:val="22"/>
          <w:szCs w:val="22"/>
          <w:vertAlign w:val="subscript"/>
          <w:lang w:val="pl-PL"/>
        </w:rPr>
        <w:t>c</w:t>
      </w:r>
      <w:r w:rsidRPr="00E80177">
        <w:rPr>
          <w:rFonts w:ascii="Times New Roman" w:hAnsi="Times New Roman"/>
          <w:sz w:val="22"/>
          <w:szCs w:val="22"/>
        </w:rPr>
        <w:sym w:font="Symbol" w:char="F07C"/>
      </w:r>
      <w:r w:rsidRPr="00E80177">
        <w:rPr>
          <w:rFonts w:ascii="Times New Roman" w:hAnsi="Times New Roman"/>
          <w:sz w:val="22"/>
          <w:szCs w:val="22"/>
        </w:rPr>
        <w:sym w:font="Symbol" w:char="F07C"/>
      </w:r>
      <w:r w:rsidRPr="00E80177">
        <w:rPr>
          <w:rFonts w:ascii="Times New Roman" w:hAnsi="Times New Roman"/>
          <w:sz w:val="22"/>
          <w:szCs w:val="22"/>
        </w:rPr>
        <w:sym w:font="Symbol" w:char="F053"/>
      </w:r>
      <w:r w:rsidRPr="00E80177">
        <w:rPr>
          <w:rFonts w:ascii="Times New Roman" w:hAnsi="Times New Roman"/>
          <w:sz w:val="22"/>
          <w:szCs w:val="22"/>
        </w:rPr>
        <w:sym w:font="Symbol" w:char="F07C"/>
      </w:r>
      <w:r w:rsidRPr="00E80177">
        <w:rPr>
          <w:rFonts w:ascii="Times New Roman" w:hAnsi="Times New Roman"/>
          <w:i/>
          <w:sz w:val="22"/>
          <w:szCs w:val="22"/>
          <w:lang w:val="pl-PL"/>
        </w:rPr>
        <w:t>F</w:t>
      </w:r>
      <w:r w:rsidRPr="00E80177">
        <w:rPr>
          <w:rFonts w:ascii="Times New Roman" w:hAnsi="Times New Roman"/>
          <w:sz w:val="22"/>
          <w:szCs w:val="22"/>
          <w:vertAlign w:val="subscript"/>
          <w:lang w:val="pl-PL"/>
        </w:rPr>
        <w:t>o</w:t>
      </w:r>
      <w:r w:rsidRPr="00E80177">
        <w:rPr>
          <w:rFonts w:ascii="Times New Roman" w:hAnsi="Times New Roman"/>
          <w:sz w:val="22"/>
          <w:szCs w:val="22"/>
        </w:rPr>
        <w:sym w:font="Symbol" w:char="F07C"/>
      </w:r>
      <w:r w:rsidRPr="00E80177">
        <w:rPr>
          <w:rFonts w:ascii="Times New Roman" w:hAnsi="Times New Roman"/>
          <w:sz w:val="22"/>
          <w:szCs w:val="22"/>
          <w:lang w:val="pl-PL"/>
        </w:rPr>
        <w:t xml:space="preserve">.   [b] </w:t>
      </w:r>
      <w:r w:rsidRPr="00E80177">
        <w:rPr>
          <w:rFonts w:ascii="Times New Roman" w:hAnsi="Times New Roman"/>
          <w:i/>
          <w:sz w:val="22"/>
          <w:szCs w:val="22"/>
          <w:lang w:val="pl-PL"/>
        </w:rPr>
        <w:t>wR</w:t>
      </w:r>
      <w:r w:rsidRPr="00E80177">
        <w:rPr>
          <w:rFonts w:ascii="Times New Roman" w:hAnsi="Times New Roman"/>
          <w:sz w:val="22"/>
          <w:szCs w:val="22"/>
          <w:lang w:val="pl-PL"/>
        </w:rPr>
        <w:t>2 = [</w:t>
      </w:r>
      <w:r w:rsidRPr="00E80177">
        <w:rPr>
          <w:rFonts w:ascii="Times New Roman" w:hAnsi="Times New Roman"/>
          <w:sz w:val="22"/>
          <w:szCs w:val="22"/>
        </w:rPr>
        <w:sym w:font="Symbol" w:char="F053"/>
      </w:r>
      <w:r w:rsidRPr="00E80177">
        <w:rPr>
          <w:rFonts w:ascii="Times New Roman" w:hAnsi="Times New Roman"/>
          <w:sz w:val="22"/>
          <w:szCs w:val="22"/>
          <w:lang w:val="pl-PL"/>
        </w:rPr>
        <w:t>[</w:t>
      </w:r>
      <w:r w:rsidRPr="00E80177">
        <w:rPr>
          <w:rFonts w:ascii="Times New Roman" w:hAnsi="Times New Roman"/>
          <w:i/>
          <w:sz w:val="22"/>
          <w:szCs w:val="22"/>
          <w:lang w:val="pl-PL"/>
        </w:rPr>
        <w:t>w</w:t>
      </w:r>
      <w:r w:rsidRPr="00E80177">
        <w:rPr>
          <w:rFonts w:ascii="Times New Roman" w:hAnsi="Times New Roman"/>
          <w:sz w:val="22"/>
          <w:szCs w:val="22"/>
          <w:lang w:val="pl-PL"/>
        </w:rPr>
        <w:t>(</w:t>
      </w:r>
      <w:r w:rsidRPr="00E80177">
        <w:rPr>
          <w:rFonts w:ascii="Times New Roman" w:hAnsi="Times New Roman"/>
          <w:i/>
          <w:sz w:val="22"/>
          <w:szCs w:val="22"/>
          <w:lang w:val="pl-PL"/>
        </w:rPr>
        <w:t>F</w:t>
      </w:r>
      <w:r w:rsidRPr="00E80177">
        <w:rPr>
          <w:rFonts w:ascii="Times New Roman" w:hAnsi="Times New Roman"/>
          <w:sz w:val="22"/>
          <w:szCs w:val="22"/>
          <w:vertAlign w:val="subscript"/>
          <w:lang w:val="pl-PL"/>
        </w:rPr>
        <w:t>o</w:t>
      </w:r>
      <w:r w:rsidRPr="00E80177">
        <w:rPr>
          <w:rFonts w:ascii="Times New Roman" w:hAnsi="Times New Roman"/>
          <w:sz w:val="22"/>
          <w:szCs w:val="22"/>
          <w:vertAlign w:val="superscript"/>
          <w:lang w:val="pl-PL"/>
        </w:rPr>
        <w:t xml:space="preserve">2 </w:t>
      </w:r>
      <w:r w:rsidRPr="00E80177">
        <w:rPr>
          <w:rFonts w:ascii="Times New Roman" w:hAnsi="Times New Roman"/>
          <w:sz w:val="22"/>
          <w:szCs w:val="22"/>
          <w:lang w:val="pl-PL"/>
        </w:rPr>
        <w:t xml:space="preserve">- </w:t>
      </w:r>
      <w:r w:rsidRPr="00E80177">
        <w:rPr>
          <w:rFonts w:ascii="Times New Roman" w:hAnsi="Times New Roman"/>
          <w:i/>
          <w:sz w:val="22"/>
          <w:szCs w:val="22"/>
          <w:lang w:val="pl-PL"/>
        </w:rPr>
        <w:t>F</w:t>
      </w:r>
      <w:r w:rsidRPr="00E80177">
        <w:rPr>
          <w:rFonts w:ascii="Times New Roman" w:hAnsi="Times New Roman"/>
          <w:sz w:val="22"/>
          <w:szCs w:val="22"/>
          <w:vertAlign w:val="subscript"/>
          <w:lang w:val="pl-PL"/>
        </w:rPr>
        <w:t>c</w:t>
      </w:r>
      <w:r w:rsidRPr="00E80177">
        <w:rPr>
          <w:rFonts w:ascii="Times New Roman" w:hAnsi="Times New Roman"/>
          <w:sz w:val="22"/>
          <w:szCs w:val="22"/>
          <w:vertAlign w:val="superscript"/>
          <w:lang w:val="pl-PL"/>
        </w:rPr>
        <w:t>2</w:t>
      </w:r>
      <w:r w:rsidRPr="00E80177">
        <w:rPr>
          <w:rFonts w:ascii="Times New Roman" w:hAnsi="Times New Roman"/>
          <w:sz w:val="22"/>
          <w:szCs w:val="22"/>
          <w:lang w:val="pl-PL"/>
        </w:rPr>
        <w:t>)</w:t>
      </w:r>
      <w:r w:rsidRPr="00E80177">
        <w:rPr>
          <w:rFonts w:ascii="Times New Roman" w:hAnsi="Times New Roman"/>
          <w:sz w:val="22"/>
          <w:szCs w:val="22"/>
          <w:vertAlign w:val="superscript"/>
          <w:lang w:val="pl-PL"/>
        </w:rPr>
        <w:t>2</w:t>
      </w:r>
      <w:r w:rsidRPr="00E80177">
        <w:rPr>
          <w:rFonts w:ascii="Times New Roman" w:hAnsi="Times New Roman"/>
          <w:sz w:val="22"/>
          <w:szCs w:val="22"/>
          <w:lang w:val="pl-PL"/>
        </w:rPr>
        <w:t>]/</w:t>
      </w:r>
      <w:r w:rsidRPr="00E80177">
        <w:rPr>
          <w:rFonts w:ascii="Times New Roman" w:hAnsi="Times New Roman"/>
          <w:sz w:val="22"/>
          <w:szCs w:val="22"/>
        </w:rPr>
        <w:sym w:font="Symbol" w:char="F053"/>
      </w:r>
      <w:r w:rsidRPr="00E80177">
        <w:rPr>
          <w:rFonts w:ascii="Times New Roman" w:hAnsi="Times New Roman"/>
          <w:sz w:val="22"/>
          <w:szCs w:val="22"/>
          <w:lang w:val="pl-PL"/>
        </w:rPr>
        <w:t>[</w:t>
      </w:r>
      <w:r w:rsidRPr="00E80177">
        <w:rPr>
          <w:rFonts w:ascii="Times New Roman" w:hAnsi="Times New Roman"/>
          <w:i/>
          <w:sz w:val="22"/>
          <w:szCs w:val="22"/>
          <w:lang w:val="pl-PL"/>
        </w:rPr>
        <w:t>w</w:t>
      </w:r>
      <w:r w:rsidRPr="00E80177">
        <w:rPr>
          <w:rFonts w:ascii="Times New Roman" w:hAnsi="Times New Roman"/>
          <w:sz w:val="22"/>
          <w:szCs w:val="22"/>
          <w:lang w:val="pl-PL"/>
        </w:rPr>
        <w:t>(</w:t>
      </w:r>
      <w:r w:rsidRPr="00E80177">
        <w:rPr>
          <w:rFonts w:ascii="Times New Roman" w:hAnsi="Times New Roman"/>
          <w:i/>
          <w:sz w:val="22"/>
          <w:szCs w:val="22"/>
          <w:lang w:val="pl-PL"/>
        </w:rPr>
        <w:t>F</w:t>
      </w:r>
      <w:r w:rsidRPr="00E80177">
        <w:rPr>
          <w:rFonts w:ascii="Times New Roman" w:hAnsi="Times New Roman"/>
          <w:sz w:val="22"/>
          <w:szCs w:val="22"/>
          <w:vertAlign w:val="subscript"/>
          <w:lang w:val="pl-PL"/>
        </w:rPr>
        <w:t>o</w:t>
      </w:r>
      <w:r w:rsidRPr="00E80177">
        <w:rPr>
          <w:rFonts w:ascii="Times New Roman" w:hAnsi="Times New Roman"/>
          <w:sz w:val="22"/>
          <w:szCs w:val="22"/>
          <w:vertAlign w:val="superscript"/>
          <w:lang w:val="pl-PL"/>
        </w:rPr>
        <w:t>2</w:t>
      </w:r>
      <w:r w:rsidRPr="00E80177">
        <w:rPr>
          <w:rFonts w:ascii="Times New Roman" w:hAnsi="Times New Roman"/>
          <w:sz w:val="22"/>
          <w:szCs w:val="22"/>
          <w:lang w:val="pl-PL"/>
        </w:rPr>
        <w:t>)</w:t>
      </w:r>
      <w:r w:rsidRPr="00E80177">
        <w:rPr>
          <w:rFonts w:ascii="Times New Roman" w:hAnsi="Times New Roman"/>
          <w:sz w:val="22"/>
          <w:szCs w:val="22"/>
          <w:vertAlign w:val="superscript"/>
          <w:lang w:val="pl-PL"/>
        </w:rPr>
        <w:t>2</w:t>
      </w:r>
      <w:r w:rsidRPr="00E80177">
        <w:rPr>
          <w:rFonts w:ascii="Times New Roman" w:hAnsi="Times New Roman"/>
          <w:sz w:val="22"/>
          <w:szCs w:val="22"/>
          <w:lang w:val="pl-PL"/>
        </w:rPr>
        <w:t>]]</w:t>
      </w:r>
      <w:r w:rsidRPr="00E80177">
        <w:rPr>
          <w:rFonts w:ascii="Times New Roman" w:hAnsi="Times New Roman"/>
          <w:sz w:val="22"/>
          <w:szCs w:val="22"/>
          <w:vertAlign w:val="superscript"/>
          <w:lang w:val="pl-PL"/>
        </w:rPr>
        <w:t>1/2</w:t>
      </w:r>
      <w:r w:rsidRPr="00E80177">
        <w:rPr>
          <w:rFonts w:ascii="Times New Roman" w:hAnsi="Times New Roman"/>
          <w:sz w:val="22"/>
          <w:szCs w:val="22"/>
          <w:lang w:val="pl-PL"/>
        </w:rPr>
        <w:t>.</w:t>
      </w:r>
    </w:p>
    <w:p w:rsidR="006C05DE" w:rsidRDefault="006C05DE">
      <w:pPr>
        <w:rPr>
          <w:b/>
          <w:lang w:val="pl-PL"/>
        </w:rPr>
      </w:pPr>
    </w:p>
    <w:p w:rsidR="006C05DE" w:rsidRDefault="006C05DE">
      <w:pPr>
        <w:rPr>
          <w:b/>
          <w:lang w:val="en-US"/>
        </w:rPr>
      </w:pPr>
    </w:p>
    <w:p w:rsidR="00E80177" w:rsidRPr="00E80177" w:rsidRDefault="00E80177">
      <w:pPr>
        <w:rPr>
          <w:b/>
          <w:lang w:val="en-US"/>
        </w:rPr>
      </w:pPr>
    </w:p>
    <w:p w:rsidR="006C05DE" w:rsidRPr="00882EDD" w:rsidRDefault="0018498A" w:rsidP="006C05DE">
      <w:pPr>
        <w:rPr>
          <w:b/>
          <w:lang w:val="pl-PL"/>
        </w:rPr>
      </w:pPr>
      <w:r>
        <w:rPr>
          <w:b/>
          <w:lang w:val="pl-PL"/>
        </w:rPr>
        <w:t>2</w:t>
      </w:r>
      <w:r w:rsidR="006C05DE">
        <w:rPr>
          <w:b/>
          <w:lang w:val="pl-PL"/>
        </w:rPr>
        <w:t xml:space="preserve">, </w:t>
      </w:r>
      <w:r w:rsidR="006C05DE" w:rsidRPr="00882EDD">
        <w:rPr>
          <w:b/>
          <w:lang w:val="pl-PL"/>
        </w:rPr>
        <w:t>The voltage sweeping experiment</w:t>
      </w:r>
      <w:r w:rsidR="00B96328">
        <w:rPr>
          <w:b/>
          <w:lang w:val="pl-PL"/>
        </w:rPr>
        <w:t>.</w:t>
      </w:r>
    </w:p>
    <w:p w:rsidR="006C05DE" w:rsidRPr="00882EDD" w:rsidRDefault="006C05DE" w:rsidP="006C05DE">
      <w:pPr>
        <w:spacing w:line="276" w:lineRule="auto"/>
        <w:jc w:val="both"/>
        <w:rPr>
          <w:lang w:val="pl-PL"/>
        </w:rPr>
      </w:pPr>
      <w:r w:rsidRPr="00882EDD">
        <w:rPr>
          <w:lang w:val="pl-PL"/>
        </w:rPr>
        <w:t xml:space="preserve">There are two strategies </w:t>
      </w:r>
      <w:r w:rsidRPr="00882EDD">
        <w:t>f</w:t>
      </w:r>
      <w:r w:rsidRPr="00882EDD">
        <w:rPr>
          <w:lang w:val="pl-PL"/>
        </w:rPr>
        <w:t xml:space="preserve">or determining non-linear I-V behavior; these are current-variable sweeping and voltage-variable sweeping. We also performed the voltage variable method on compound </w:t>
      </w:r>
      <w:r w:rsidRPr="00882EDD">
        <w:rPr>
          <w:b/>
          <w:lang w:val="pl-PL"/>
        </w:rPr>
        <w:t>1</w:t>
      </w:r>
      <w:r w:rsidRPr="00882EDD">
        <w:rPr>
          <w:lang w:val="pl-PL"/>
        </w:rPr>
        <w:t xml:space="preserve"> (Figure S</w:t>
      </w:r>
      <w:r w:rsidR="0018498A">
        <w:rPr>
          <w:rFonts w:eastAsiaTheme="minorEastAsia"/>
          <w:lang w:val="pl-PL" w:eastAsia="zh-CN"/>
        </w:rPr>
        <w:t>1</w:t>
      </w:r>
      <w:r w:rsidRPr="00882EDD">
        <w:rPr>
          <w:lang w:val="pl-PL"/>
        </w:rPr>
        <w:t>).</w:t>
      </w:r>
    </w:p>
    <w:p w:rsidR="006C05DE" w:rsidRPr="00882EDD" w:rsidRDefault="006C05DE" w:rsidP="006C05DE">
      <w:pPr>
        <w:ind w:firstLine="420"/>
        <w:rPr>
          <w:lang w:val="pl-PL"/>
        </w:rPr>
      </w:pPr>
      <w:r w:rsidRPr="00882EDD">
        <w:rPr>
          <w:lang w:val="pl-PL"/>
        </w:rPr>
        <w:t>(a)</w:t>
      </w:r>
    </w:p>
    <w:p w:rsidR="006C05DE" w:rsidRPr="00882EDD" w:rsidRDefault="006C05DE" w:rsidP="006C05DE">
      <w:pPr>
        <w:ind w:firstLine="420"/>
        <w:rPr>
          <w:lang w:val="pl-PL"/>
        </w:rPr>
      </w:pPr>
      <w:r w:rsidRPr="00882EDD">
        <w:object w:dxaOrig="6549" w:dyaOrig="4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191.5pt" o:ole="">
            <v:imagedata r:id="rId6" o:title=""/>
          </v:shape>
          <o:OLEObject Type="Embed" ProgID="Origin50.Graph" ShapeID="_x0000_i1025" DrawAspect="Content" ObjectID="_1317816093" r:id="rId7"/>
        </w:object>
      </w:r>
    </w:p>
    <w:p w:rsidR="006C05DE" w:rsidRPr="00882EDD" w:rsidRDefault="006C05DE" w:rsidP="006C05DE">
      <w:pPr>
        <w:ind w:firstLine="420"/>
        <w:rPr>
          <w:lang w:val="pl-PL"/>
        </w:rPr>
      </w:pPr>
      <w:r w:rsidRPr="00882EDD">
        <w:rPr>
          <w:lang w:val="pl-PL"/>
        </w:rPr>
        <w:t>(b)</w:t>
      </w:r>
    </w:p>
    <w:p w:rsidR="006C05DE" w:rsidRPr="00882EDD" w:rsidRDefault="006C05DE" w:rsidP="006C05DE">
      <w:pPr>
        <w:ind w:firstLine="420"/>
      </w:pPr>
      <w:r w:rsidRPr="00882EDD">
        <w:object w:dxaOrig="6549" w:dyaOrig="4576">
          <v:shape id="_x0000_i1026" type="#_x0000_t75" style="width:265.5pt;height:186.5pt" o:ole="">
            <v:imagedata r:id="rId8" o:title=""/>
          </v:shape>
          <o:OLEObject Type="Embed" ProgID="Origin50.Graph" ShapeID="_x0000_i1026" DrawAspect="Content" ObjectID="_1317816094" r:id="rId9"/>
        </w:object>
      </w:r>
    </w:p>
    <w:p w:rsidR="006C05DE" w:rsidRPr="00882EDD" w:rsidRDefault="006C05DE" w:rsidP="006C05DE">
      <w:r w:rsidRPr="00882EDD">
        <w:rPr>
          <w:b/>
        </w:rPr>
        <w:t>Figure S</w:t>
      </w:r>
      <w:r w:rsidR="0018498A">
        <w:rPr>
          <w:rFonts w:eastAsiaTheme="minorEastAsia"/>
          <w:b/>
          <w:lang w:eastAsia="zh-CN"/>
        </w:rPr>
        <w:t>1</w:t>
      </w:r>
      <w:r w:rsidRPr="00882EDD">
        <w:rPr>
          <w:b/>
        </w:rPr>
        <w:t xml:space="preserve">. </w:t>
      </w:r>
      <w:r w:rsidRPr="00882EDD">
        <w:t>Voltage sweep I-V curve for Ag(TCNQCl</w:t>
      </w:r>
      <w:r w:rsidRPr="00882EDD">
        <w:rPr>
          <w:vertAlign w:val="subscript"/>
        </w:rPr>
        <w:t>2</w:t>
      </w:r>
      <w:r w:rsidRPr="00882EDD">
        <w:t xml:space="preserve">): (a) -50V to 50V, five segments and (b) 0 to 70V, one segment. </w:t>
      </w:r>
    </w:p>
    <w:p w:rsidR="006C05DE" w:rsidRPr="00882EDD" w:rsidRDefault="006C05DE" w:rsidP="006C05DE">
      <w:pPr>
        <w:ind w:firstLine="420"/>
      </w:pPr>
    </w:p>
    <w:p w:rsidR="006C05DE" w:rsidRPr="00882EDD" w:rsidRDefault="006C05DE" w:rsidP="006C05DE">
      <w:pPr>
        <w:spacing w:line="276" w:lineRule="auto"/>
        <w:jc w:val="both"/>
      </w:pPr>
      <w:r w:rsidRPr="00882EDD">
        <w:t xml:space="preserve">Non-linear behavior for </w:t>
      </w:r>
      <w:r w:rsidRPr="00882EDD">
        <w:rPr>
          <w:b/>
        </w:rPr>
        <w:t>1</w:t>
      </w:r>
      <w:r w:rsidRPr="00882EDD">
        <w:t xml:space="preserve"> was observed in the voltage sweep experiment but it is more challenging to control the current and protect the sample with the voltage sweep method. As a result, it is difficult to observe hysteresis. The sample exhibits a sharp increase in conductivity with an applied voltage of ~60 V, but then decomposes. The distinctive orange-yellow color of neutral TCNQCl</w:t>
      </w:r>
      <w:r w:rsidRPr="00882EDD">
        <w:rPr>
          <w:vertAlign w:val="subscript"/>
        </w:rPr>
        <w:t>2</w:t>
      </w:r>
      <w:r w:rsidRPr="00882EDD">
        <w:t xml:space="preserve"> was observed </w:t>
      </w:r>
      <w:r>
        <w:t>by</w:t>
      </w:r>
      <w:r w:rsidRPr="00882EDD">
        <w:t xml:space="preserve"> inspection of the sample under a microscope. (Figure S</w:t>
      </w:r>
      <w:r w:rsidR="0018498A">
        <w:rPr>
          <w:rFonts w:eastAsiaTheme="minorEastAsia"/>
          <w:lang w:eastAsia="zh-CN"/>
        </w:rPr>
        <w:t>2</w:t>
      </w:r>
      <w:r w:rsidRPr="00882EDD">
        <w:t>).</w:t>
      </w:r>
    </w:p>
    <w:p w:rsidR="006C05DE" w:rsidRPr="00882EDD" w:rsidRDefault="006C05DE" w:rsidP="006C05DE">
      <w:pPr>
        <w:ind w:firstLine="420"/>
        <w:rPr>
          <w:rFonts w:eastAsiaTheme="minorEastAsia"/>
          <w:lang w:val="pl-PL" w:eastAsia="zh-CN"/>
        </w:rPr>
      </w:pPr>
      <w:r w:rsidRPr="00882EDD">
        <w:rPr>
          <w:noProof/>
          <w:lang w:val="en-US" w:eastAsia="en-US"/>
        </w:rPr>
        <w:drawing>
          <wp:inline distT="0" distB="0" distL="0" distR="0">
            <wp:extent cx="4417695" cy="3225800"/>
            <wp:effectExtent l="0" t="0" r="0" b="0"/>
            <wp:docPr id="19" name="图片 1" descr="DSC00037.JPG"/>
            <wp:cNvGraphicFramePr/>
            <a:graphic xmlns:a="http://schemas.openxmlformats.org/drawingml/2006/main">
              <a:graphicData uri="http://schemas.openxmlformats.org/drawingml/2006/picture">
                <pic:pic xmlns:pic="http://schemas.openxmlformats.org/drawingml/2006/picture">
                  <pic:nvPicPr>
                    <pic:cNvPr id="9" name="图片 8" descr="DSC00037.JPG"/>
                    <pic:cNvPicPr>
                      <a:picLocks noChangeAspect="1"/>
                    </pic:cNvPicPr>
                  </pic:nvPicPr>
                  <pic:blipFill>
                    <a:blip r:embed="rId10" cstate="print"/>
                    <a:stretch>
                      <a:fillRect/>
                    </a:stretch>
                  </pic:blipFill>
                  <pic:spPr>
                    <a:xfrm>
                      <a:off x="0" y="0"/>
                      <a:ext cx="4420749" cy="3228030"/>
                    </a:xfrm>
                    <a:prstGeom prst="rect">
                      <a:avLst/>
                    </a:prstGeom>
                  </pic:spPr>
                </pic:pic>
              </a:graphicData>
            </a:graphic>
          </wp:inline>
        </w:drawing>
      </w:r>
    </w:p>
    <w:p w:rsidR="006C05DE" w:rsidRPr="00882EDD" w:rsidRDefault="006C05DE" w:rsidP="006C05DE">
      <w:pPr>
        <w:ind w:firstLine="420"/>
        <w:rPr>
          <w:rFonts w:eastAsiaTheme="minorEastAsia"/>
          <w:lang w:val="pl-PL" w:eastAsia="zh-CN"/>
        </w:rPr>
      </w:pPr>
    </w:p>
    <w:p w:rsidR="006C05DE" w:rsidRPr="00882EDD" w:rsidRDefault="006C05DE" w:rsidP="006C05DE">
      <w:r w:rsidRPr="00882EDD">
        <w:rPr>
          <w:b/>
          <w:lang w:val="pl-PL"/>
        </w:rPr>
        <w:t>Figure S</w:t>
      </w:r>
      <w:r w:rsidR="0018498A">
        <w:rPr>
          <w:rFonts w:eastAsiaTheme="minorEastAsia"/>
          <w:b/>
          <w:lang w:val="pl-PL" w:eastAsia="zh-CN"/>
        </w:rPr>
        <w:t>2</w:t>
      </w:r>
      <w:r w:rsidRPr="00882EDD">
        <w:rPr>
          <w:b/>
          <w:lang w:val="pl-PL"/>
        </w:rPr>
        <w:t>.</w:t>
      </w:r>
      <w:r w:rsidRPr="00882EDD">
        <w:rPr>
          <w:lang w:val="pl-PL"/>
        </w:rPr>
        <w:t xml:space="preserve"> </w:t>
      </w:r>
      <w:r w:rsidRPr="00882EDD">
        <w:t>The decomposition</w:t>
      </w:r>
      <w:r w:rsidRPr="00882EDD">
        <w:rPr>
          <w:lang w:val="pl-PL"/>
        </w:rPr>
        <w:t xml:space="preserve"> of AgTCNQCl</w:t>
      </w:r>
      <w:r w:rsidRPr="00882EDD">
        <w:rPr>
          <w:vertAlign w:val="subscript"/>
          <w:lang w:val="pl-PL"/>
        </w:rPr>
        <w:t>2</w:t>
      </w:r>
      <w:r w:rsidRPr="00882EDD">
        <w:rPr>
          <w:lang w:val="pl-PL"/>
        </w:rPr>
        <w:t>.</w:t>
      </w:r>
      <w:r w:rsidRPr="00882EDD">
        <w:t xml:space="preserve"> Yellow areas are neutral TCNQCl</w:t>
      </w:r>
      <w:r w:rsidRPr="00882EDD">
        <w:softHyphen/>
        <w:t xml:space="preserve"> whereas the dark regions indicate the presence of the radical form.</w:t>
      </w:r>
    </w:p>
    <w:p w:rsidR="006C05DE" w:rsidRPr="00882EDD" w:rsidRDefault="006C05DE" w:rsidP="006C05DE">
      <w:pPr>
        <w:ind w:firstLine="420"/>
        <w:rPr>
          <w:lang w:val="pl-PL"/>
        </w:rPr>
      </w:pPr>
    </w:p>
    <w:p w:rsidR="006C05DE" w:rsidRDefault="006C05DE" w:rsidP="006C05DE">
      <w:pPr>
        <w:spacing w:line="276" w:lineRule="auto"/>
        <w:jc w:val="both"/>
        <w:rPr>
          <w:lang w:val="pl-PL"/>
        </w:rPr>
      </w:pPr>
      <w:r w:rsidRPr="00882EDD">
        <w:rPr>
          <w:lang w:val="pl-PL"/>
        </w:rPr>
        <w:t xml:space="preserve">This </w:t>
      </w:r>
      <w:r w:rsidRPr="00882EDD">
        <w:t>observation</w:t>
      </w:r>
      <w:r w:rsidRPr="00882EDD">
        <w:rPr>
          <w:lang w:val="pl-PL"/>
        </w:rPr>
        <w:t xml:space="preserve"> </w:t>
      </w:r>
      <w:r w:rsidRPr="00882EDD">
        <w:t>is in excellent accord with the</w:t>
      </w:r>
      <w:r w:rsidRPr="00882EDD">
        <w:rPr>
          <w:lang w:val="pl-PL"/>
        </w:rPr>
        <w:t xml:space="preserve"> </w:t>
      </w:r>
      <w:r w:rsidRPr="00882EDD">
        <w:t>mechanism of</w:t>
      </w:r>
      <w:r w:rsidRPr="00882EDD">
        <w:rPr>
          <w:lang w:val="pl-PL"/>
        </w:rPr>
        <w:t xml:space="preserve"> switching </w:t>
      </w:r>
      <w:r w:rsidRPr="00882EDD">
        <w:t>being</w:t>
      </w:r>
      <w:r w:rsidRPr="00882EDD">
        <w:rPr>
          <w:lang w:val="pl-PL"/>
        </w:rPr>
        <w:t xml:space="preserve"> charge transfer from TCNQCl</w:t>
      </w:r>
      <w:r w:rsidRPr="00882EDD">
        <w:rPr>
          <w:vertAlign w:val="subscript"/>
          <w:lang w:val="pl-PL"/>
        </w:rPr>
        <w:t>2</w:t>
      </w:r>
      <w:r w:rsidRPr="00882EDD">
        <w:rPr>
          <w:vertAlign w:val="superscript"/>
          <w:lang w:val="pl-PL"/>
        </w:rPr>
        <w:t>-</w:t>
      </w:r>
      <w:r w:rsidRPr="00882EDD">
        <w:rPr>
          <w:lang w:val="pl-PL"/>
        </w:rPr>
        <w:t xml:space="preserve"> radicals to Ag(I) cations. When the applied voltage is increased, the sample under</w:t>
      </w:r>
      <w:r w:rsidRPr="00882EDD">
        <w:t>goes</w:t>
      </w:r>
      <w:r w:rsidRPr="00882EDD">
        <w:rPr>
          <w:lang w:val="pl-PL"/>
        </w:rPr>
        <w:t xml:space="preserve"> full-</w:t>
      </w:r>
      <w:r w:rsidRPr="00882EDD">
        <w:t>electron transfer</w:t>
      </w:r>
      <w:r w:rsidRPr="00882EDD">
        <w:rPr>
          <w:lang w:val="pl-PL"/>
        </w:rPr>
        <w:t xml:space="preserve"> and decomposes to Ag(0) and neutral TCNQCl</w:t>
      </w:r>
      <w:r w:rsidRPr="00882EDD">
        <w:rPr>
          <w:vertAlign w:val="subscript"/>
          <w:lang w:val="pl-PL"/>
        </w:rPr>
        <w:t>2</w:t>
      </w:r>
      <w:r w:rsidRPr="00882EDD">
        <w:rPr>
          <w:lang w:val="pl-PL"/>
        </w:rPr>
        <w:t xml:space="preserve">. </w:t>
      </w:r>
    </w:p>
    <w:p w:rsidR="006C05DE" w:rsidRDefault="006C05DE" w:rsidP="006C05DE">
      <w:pPr>
        <w:rPr>
          <w:lang w:val="pl-PL"/>
        </w:rPr>
      </w:pPr>
      <w:r>
        <w:rPr>
          <w:lang w:val="pl-PL"/>
        </w:rPr>
        <w:br w:type="page"/>
      </w:r>
    </w:p>
    <w:p w:rsidR="006C05DE" w:rsidRPr="00882EDD" w:rsidRDefault="00B96328" w:rsidP="006C05DE">
      <w:pPr>
        <w:rPr>
          <w:b/>
          <w:lang w:val="pl-PL"/>
        </w:rPr>
      </w:pPr>
      <w:r>
        <w:rPr>
          <w:b/>
          <w:lang w:val="pl-PL"/>
        </w:rPr>
        <w:t>3</w:t>
      </w:r>
      <w:r w:rsidR="006C05DE">
        <w:rPr>
          <w:b/>
          <w:lang w:val="pl-PL"/>
        </w:rPr>
        <w:t xml:space="preserve">, </w:t>
      </w:r>
      <w:r w:rsidR="006C05DE" w:rsidRPr="00882EDD">
        <w:rPr>
          <w:b/>
          <w:lang w:val="pl-PL"/>
        </w:rPr>
        <w:t>The charge transfer saturation under current in the case of Ag(TCNQCl</w:t>
      </w:r>
      <w:r w:rsidR="006C05DE" w:rsidRPr="00882EDD">
        <w:rPr>
          <w:b/>
          <w:vertAlign w:val="subscript"/>
          <w:lang w:val="pl-PL"/>
        </w:rPr>
        <w:t>2</w:t>
      </w:r>
      <w:r w:rsidR="006C05DE" w:rsidRPr="00882EDD">
        <w:rPr>
          <w:b/>
          <w:lang w:val="pl-PL"/>
        </w:rPr>
        <w:t>)</w:t>
      </w:r>
    </w:p>
    <w:p w:rsidR="006C05DE" w:rsidRPr="00882EDD" w:rsidRDefault="006C05DE" w:rsidP="006C05DE">
      <w:pPr>
        <w:rPr>
          <w:b/>
          <w:lang w:val="pl-PL"/>
        </w:rPr>
      </w:pPr>
    </w:p>
    <w:p w:rsidR="006C05DE" w:rsidRPr="00882EDD" w:rsidRDefault="006C05DE" w:rsidP="006C05DE">
      <w:pPr>
        <w:spacing w:line="276" w:lineRule="auto"/>
        <w:jc w:val="both"/>
        <w:rPr>
          <w:lang w:val="pl-PL"/>
        </w:rPr>
      </w:pPr>
      <w:r w:rsidRPr="00882EDD">
        <w:t>T</w:t>
      </w:r>
      <w:r w:rsidRPr="00882EDD">
        <w:rPr>
          <w:lang w:val="pl-PL"/>
        </w:rPr>
        <w:t>heoretical studies of Cu(TCNQ) and Ag(TCNQ) led to the hypothesis that the high</w:t>
      </w:r>
      <w:r w:rsidRPr="00882EDD">
        <w:t>ly</w:t>
      </w:r>
      <w:r w:rsidRPr="00882EDD">
        <w:rPr>
          <w:lang w:val="pl-PL"/>
        </w:rPr>
        <w:t xml:space="preserve"> conducting states </w:t>
      </w:r>
      <w:r w:rsidRPr="00882EDD">
        <w:t>have contributions from</w:t>
      </w:r>
      <w:r w:rsidRPr="00882EDD">
        <w:rPr>
          <w:lang w:val="pl-PL"/>
        </w:rPr>
        <w:t xml:space="preserve"> 4s </w:t>
      </w:r>
      <w:r>
        <w:rPr>
          <w:lang w:val="pl-PL"/>
        </w:rPr>
        <w:t xml:space="preserve">and </w:t>
      </w:r>
      <w:r w:rsidRPr="00882EDD">
        <w:rPr>
          <w:lang w:val="pl-PL"/>
        </w:rPr>
        <w:t xml:space="preserve">5s orbitals </w:t>
      </w:r>
      <w:r w:rsidRPr="00882EDD">
        <w:t>respectively</w:t>
      </w:r>
      <w:r w:rsidRPr="00882EDD">
        <w:rPr>
          <w:lang w:val="pl-PL"/>
        </w:rPr>
        <w:t xml:space="preserve">. With the linear response between </w:t>
      </w:r>
      <w:r w:rsidRPr="00882EDD">
        <w:t xml:space="preserve">the </w:t>
      </w:r>
      <w:r w:rsidRPr="00882EDD">
        <w:rPr>
          <w:lang w:val="pl-PL"/>
        </w:rPr>
        <w:t xml:space="preserve">g-factor and the logarithm value of alternating current, a charge transfer model </w:t>
      </w:r>
      <w:r w:rsidRPr="00882EDD">
        <w:t>was</w:t>
      </w:r>
      <w:r w:rsidRPr="00882EDD">
        <w:rPr>
          <w:lang w:val="pl-PL"/>
        </w:rPr>
        <w:t xml:space="preserve"> derived.</w:t>
      </w:r>
    </w:p>
    <w:p w:rsidR="006C05DE" w:rsidRDefault="006C05DE" w:rsidP="006C05DE">
      <w:pPr>
        <w:rPr>
          <w:lang w:val="en-US"/>
        </w:rPr>
      </w:pPr>
      <w:r>
        <w:rPr>
          <w:noProof/>
          <w:lang w:val="en-US" w:eastAsia="en-US"/>
        </w:rPr>
        <w:drawing>
          <wp:inline distT="0" distB="0" distL="0" distR="0">
            <wp:extent cx="5105400" cy="2970415"/>
            <wp:effectExtent l="19050" t="0" r="0" b="0"/>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5105400" cy="2970415"/>
                    </a:xfrm>
                    <a:prstGeom prst="rect">
                      <a:avLst/>
                    </a:prstGeom>
                    <a:noFill/>
                    <a:ln w="9525">
                      <a:noFill/>
                      <a:miter lim="800000"/>
                      <a:headEnd/>
                      <a:tailEnd/>
                    </a:ln>
                  </pic:spPr>
                </pic:pic>
              </a:graphicData>
            </a:graphic>
          </wp:inline>
        </w:drawing>
      </w:r>
    </w:p>
    <w:p w:rsidR="006C05DE" w:rsidRPr="00E7792B" w:rsidRDefault="006C05DE" w:rsidP="006C05DE">
      <w:pPr>
        <w:rPr>
          <w:lang w:val="en-US"/>
        </w:rPr>
      </w:pPr>
    </w:p>
    <w:p w:rsidR="006C05DE" w:rsidRDefault="006C05DE" w:rsidP="006C05DE">
      <w:pPr>
        <w:rPr>
          <w:lang w:val="pl-PL"/>
        </w:rPr>
      </w:pPr>
      <w:r w:rsidRPr="00882EDD">
        <w:rPr>
          <w:b/>
          <w:lang w:val="pl-PL"/>
        </w:rPr>
        <w:t>Figure S</w:t>
      </w:r>
      <w:r w:rsidR="0018498A">
        <w:rPr>
          <w:rFonts w:eastAsiaTheme="minorEastAsia"/>
          <w:b/>
          <w:lang w:val="pl-PL" w:eastAsia="zh-CN"/>
        </w:rPr>
        <w:t>3</w:t>
      </w:r>
      <w:r w:rsidRPr="00882EDD">
        <w:rPr>
          <w:b/>
          <w:lang w:val="pl-PL"/>
        </w:rPr>
        <w:t xml:space="preserve">. </w:t>
      </w:r>
      <w:r w:rsidRPr="00882EDD">
        <w:rPr>
          <w:lang w:val="pl-PL"/>
        </w:rPr>
        <w:t>A structural scheme of current induced charge transfer model in Ag(TCNQCl</w:t>
      </w:r>
      <w:r w:rsidRPr="00882EDD">
        <w:rPr>
          <w:vertAlign w:val="subscript"/>
          <w:lang w:val="pl-PL"/>
        </w:rPr>
        <w:t>2</w:t>
      </w:r>
      <w:r w:rsidRPr="00882EDD">
        <w:rPr>
          <w:lang w:val="pl-PL"/>
        </w:rPr>
        <w:t>).</w:t>
      </w:r>
    </w:p>
    <w:p w:rsidR="006C05DE" w:rsidRPr="00882EDD" w:rsidRDefault="006C05DE" w:rsidP="006C05DE">
      <w:pPr>
        <w:rPr>
          <w:lang w:val="pl-PL"/>
        </w:rPr>
      </w:pPr>
    </w:p>
    <w:p w:rsidR="006C05DE" w:rsidRPr="00882EDD" w:rsidRDefault="006C05DE" w:rsidP="006C05DE">
      <w:pPr>
        <w:spacing w:line="276" w:lineRule="auto"/>
        <w:jc w:val="both"/>
        <w:rPr>
          <w:lang w:val="pl-PL"/>
        </w:rPr>
      </w:pPr>
      <w:r>
        <w:rPr>
          <w:noProof/>
          <w:lang w:val="en-US" w:eastAsia="en-US"/>
        </w:rPr>
        <w:drawing>
          <wp:inline distT="0" distB="0" distL="0" distR="0">
            <wp:extent cx="5591175" cy="1438275"/>
            <wp:effectExtent l="19050" t="0" r="9525" b="0"/>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5591175" cy="1438275"/>
                    </a:xfrm>
                    <a:prstGeom prst="rect">
                      <a:avLst/>
                    </a:prstGeom>
                    <a:noFill/>
                    <a:ln w="9525">
                      <a:noFill/>
                      <a:miter lim="800000"/>
                      <a:headEnd/>
                      <a:tailEnd/>
                    </a:ln>
                  </pic:spPr>
                </pic:pic>
              </a:graphicData>
            </a:graphic>
          </wp:inline>
        </w:drawing>
      </w:r>
    </w:p>
    <w:p w:rsidR="006C05DE" w:rsidRPr="00882EDD" w:rsidRDefault="006C05DE" w:rsidP="006C05DE">
      <w:pPr>
        <w:spacing w:line="276" w:lineRule="auto"/>
        <w:jc w:val="both"/>
        <w:rPr>
          <w:rFonts w:eastAsiaTheme="minorEastAsia"/>
          <w:lang w:val="pl-PL" w:eastAsia="zh-CN"/>
        </w:rPr>
      </w:pPr>
    </w:p>
    <w:p w:rsidR="006C05DE" w:rsidRPr="00882EDD" w:rsidRDefault="006C05DE" w:rsidP="0018498A">
      <w:pPr>
        <w:jc w:val="both"/>
        <w:rPr>
          <w:lang w:val="pl-PL"/>
        </w:rPr>
      </w:pPr>
      <w:r w:rsidRPr="00882EDD">
        <w:rPr>
          <w:b/>
          <w:lang w:val="pl-PL"/>
        </w:rPr>
        <w:t>Figure S</w:t>
      </w:r>
      <w:r w:rsidR="0018498A">
        <w:rPr>
          <w:rFonts w:eastAsiaTheme="minorEastAsia"/>
          <w:b/>
          <w:lang w:val="pl-PL" w:eastAsia="zh-CN"/>
        </w:rPr>
        <w:t>4</w:t>
      </w:r>
      <w:r w:rsidRPr="00882EDD">
        <w:rPr>
          <w:b/>
          <w:lang w:val="pl-PL"/>
        </w:rPr>
        <w:t xml:space="preserve">. </w:t>
      </w:r>
      <w:r w:rsidRPr="00882EDD">
        <w:rPr>
          <w:lang w:val="pl-PL"/>
        </w:rPr>
        <w:t>A</w:t>
      </w:r>
      <w:r w:rsidRPr="00882EDD">
        <w:rPr>
          <w:lang w:val="en-US"/>
        </w:rPr>
        <w:t>n</w:t>
      </w:r>
      <w:r w:rsidRPr="00882EDD">
        <w:rPr>
          <w:lang w:val="pl-PL"/>
        </w:rPr>
        <w:t xml:space="preserve"> energy scheme </w:t>
      </w:r>
      <w:r>
        <w:rPr>
          <w:lang w:val="pl-PL"/>
        </w:rPr>
        <w:t>for the</w:t>
      </w:r>
      <w:r w:rsidRPr="00882EDD">
        <w:rPr>
          <w:lang w:val="pl-PL"/>
        </w:rPr>
        <w:t xml:space="preserve"> current induced charge transfer model in Ag(TCNQCl</w:t>
      </w:r>
      <w:r w:rsidRPr="00882EDD">
        <w:rPr>
          <w:vertAlign w:val="subscript"/>
          <w:lang w:val="pl-PL"/>
        </w:rPr>
        <w:t>2</w:t>
      </w:r>
      <w:r w:rsidRPr="00882EDD">
        <w:rPr>
          <w:lang w:val="pl-PL"/>
        </w:rPr>
        <w:t xml:space="preserve">). With the charge transfer, the gap between Ag 5s orbital and TCNQ SOMO are smaller. </w:t>
      </w:r>
    </w:p>
    <w:p w:rsidR="006C05DE" w:rsidRPr="00882EDD" w:rsidRDefault="006C05DE" w:rsidP="006C05DE">
      <w:pPr>
        <w:spacing w:line="276" w:lineRule="auto"/>
        <w:jc w:val="both"/>
        <w:rPr>
          <w:rFonts w:eastAsiaTheme="minorEastAsia"/>
          <w:lang w:val="pl-PL" w:eastAsia="zh-CN"/>
        </w:rPr>
      </w:pPr>
    </w:p>
    <w:p w:rsidR="006C05DE" w:rsidRPr="00882EDD" w:rsidRDefault="006C05DE" w:rsidP="006C05DE">
      <w:pPr>
        <w:spacing w:line="276" w:lineRule="auto"/>
        <w:jc w:val="both"/>
        <w:rPr>
          <w:lang w:val="pl-PL"/>
        </w:rPr>
      </w:pPr>
      <w:r>
        <w:rPr>
          <w:lang w:val="pl-PL"/>
        </w:rPr>
        <w:tab/>
      </w:r>
      <w:r w:rsidRPr="00882EDD">
        <w:rPr>
          <w:lang w:val="pl-PL"/>
        </w:rPr>
        <w:t xml:space="preserve">The ideal </w:t>
      </w:r>
      <w:r w:rsidRPr="00882EDD">
        <w:t>column</w:t>
      </w:r>
      <w:r w:rsidRPr="00882EDD">
        <w:rPr>
          <w:lang w:val="pl-PL"/>
        </w:rPr>
        <w:t xml:space="preserve"> of TCNQ radicals can be treated as a stack of all si</w:t>
      </w:r>
      <w:r w:rsidRPr="00882EDD">
        <w:t>ng</w:t>
      </w:r>
      <w:r w:rsidRPr="00882EDD">
        <w:rPr>
          <w:lang w:val="pl-PL"/>
        </w:rPr>
        <w:t>ly ocuppied radical</w:t>
      </w:r>
      <w:r w:rsidRPr="00882EDD">
        <w:t>s</w:t>
      </w:r>
      <w:r w:rsidRPr="00882EDD">
        <w:rPr>
          <w:lang w:val="pl-PL"/>
        </w:rPr>
        <w:t xml:space="preserve"> which is known as an intrinsic Mott-insulator type semiconductor. In </w:t>
      </w:r>
      <w:r w:rsidRPr="00882EDD">
        <w:t>this</w:t>
      </w:r>
      <w:r w:rsidRPr="00882EDD">
        <w:rPr>
          <w:lang w:val="pl-PL"/>
        </w:rPr>
        <w:t xml:space="preserve"> </w:t>
      </w:r>
      <w:r w:rsidRPr="00882EDD">
        <w:t>case</w:t>
      </w:r>
      <w:r w:rsidRPr="00882EDD">
        <w:rPr>
          <w:lang w:val="pl-PL"/>
        </w:rPr>
        <w:t xml:space="preserve"> </w:t>
      </w:r>
      <w:r w:rsidRPr="00882EDD">
        <w:t xml:space="preserve">the </w:t>
      </w:r>
      <w:r w:rsidRPr="00882EDD">
        <w:rPr>
          <w:lang w:val="pl-PL"/>
        </w:rPr>
        <w:t xml:space="preserve">Ag 5s orbital is empty. The potential gap between the stack of TCNQ radicals and Ag(I) cations </w:t>
      </w:r>
      <w:r w:rsidRPr="00882EDD">
        <w:t>is attributed</w:t>
      </w:r>
      <w:r w:rsidRPr="00882EDD">
        <w:rPr>
          <w:lang w:val="pl-PL"/>
        </w:rPr>
        <w:t xml:space="preserve"> to the difference in their electrochemical potential, which is positive, </w:t>
      </w:r>
      <w:r w:rsidRPr="00882EDD">
        <w:t>given that</w:t>
      </w:r>
      <w:r w:rsidRPr="00882EDD">
        <w:rPr>
          <w:lang w:val="pl-PL"/>
        </w:rPr>
        <w:t xml:space="preserve"> the reaction between Ag(0) and TCNQCl</w:t>
      </w:r>
      <w:r w:rsidRPr="00882EDD">
        <w:rPr>
          <w:vertAlign w:val="subscript"/>
          <w:lang w:val="pl-PL"/>
        </w:rPr>
        <w:t>2</w:t>
      </w:r>
      <w:r w:rsidRPr="00882EDD">
        <w:rPr>
          <w:lang w:val="pl-PL"/>
        </w:rPr>
        <w:t xml:space="preserve"> is spontaneous. In this case, the electrons will prefer to </w:t>
      </w:r>
      <w:r w:rsidRPr="00882EDD">
        <w:t xml:space="preserve">reside </w:t>
      </w:r>
      <w:r w:rsidRPr="00882EDD">
        <w:rPr>
          <w:lang w:val="pl-PL"/>
        </w:rPr>
        <w:t>in the stack of TCNQ radicals</w:t>
      </w:r>
      <w:r w:rsidRPr="00B21E82">
        <w:rPr>
          <w:lang w:val="pl-PL"/>
        </w:rPr>
        <w:t xml:space="preserve">. Under </w:t>
      </w:r>
      <w:r w:rsidRPr="00B21E82">
        <w:t>an</w:t>
      </w:r>
      <w:r w:rsidRPr="00B21E82">
        <w:rPr>
          <w:lang w:val="pl-PL"/>
        </w:rPr>
        <w:t xml:space="preserve"> applied current, partial charge transfer occurs, which </w:t>
      </w:r>
      <w:r w:rsidRPr="00B21E82">
        <w:t>converts</w:t>
      </w:r>
      <w:r w:rsidRPr="00B21E82">
        <w:rPr>
          <w:lang w:val="pl-PL"/>
        </w:rPr>
        <w:t xml:space="preserve"> the TCNQ radical stack into a dopped p-type semiconducting stack, which leads to an increase in conductivity. From the orbital energy scheme, it is obvious that the voltage difference between the SOMO of TCNQ and  the</w:t>
      </w:r>
      <w:r w:rsidR="00E80177">
        <w:rPr>
          <w:lang w:val="pl-PL"/>
        </w:rPr>
        <w:t xml:space="preserve"> </w:t>
      </w:r>
      <w:r w:rsidRPr="00B21E82">
        <w:rPr>
          <w:lang w:val="pl-PL"/>
        </w:rPr>
        <w:t>Ag 5s orbital is proportional to their energy difference, which is also proportional to the occupancy of the 5s orbital and the degree of charge transfer. This voltage regulated distribution is similar to the law of diode</w:t>
      </w:r>
      <w:r>
        <w:rPr>
          <w:lang w:val="pl-PL"/>
        </w:rPr>
        <w:t>s</w:t>
      </w:r>
      <w:r w:rsidRPr="00B21E82">
        <w:rPr>
          <w:lang w:val="pl-PL"/>
        </w:rPr>
        <w:t>:</w:t>
      </w:r>
    </w:p>
    <w:p w:rsidR="006C05DE" w:rsidRPr="00882EDD" w:rsidRDefault="006C05DE" w:rsidP="006C05DE">
      <w:pPr>
        <w:spacing w:line="276" w:lineRule="auto"/>
        <w:jc w:val="both"/>
        <w:rPr>
          <w:lang w:val="pl-PL"/>
        </w:rPr>
      </w:pPr>
    </w:p>
    <w:p w:rsidR="006C05DE" w:rsidRPr="00882EDD" w:rsidRDefault="006C05DE" w:rsidP="006C05DE">
      <w:pPr>
        <w:spacing w:line="276" w:lineRule="auto"/>
        <w:jc w:val="both"/>
        <w:rPr>
          <w:lang w:val="pl-PL"/>
        </w:rPr>
      </w:pPr>
      <w:r w:rsidRPr="00882EDD">
        <w:rPr>
          <w:lang w:val="pl-PL"/>
        </w:rPr>
        <w:t>I = I</w:t>
      </w:r>
      <w:r w:rsidRPr="00882EDD">
        <w:rPr>
          <w:vertAlign w:val="subscript"/>
          <w:lang w:val="pl-PL"/>
        </w:rPr>
        <w:t>s</w:t>
      </w:r>
      <w:r w:rsidRPr="00882EDD">
        <w:rPr>
          <w:lang w:val="pl-PL"/>
        </w:rPr>
        <w:t>(exp(</w:t>
      </w:r>
      <w:r w:rsidRPr="00882EDD">
        <w:rPr>
          <w:rFonts w:eastAsia="宋体"/>
          <w:lang w:val="pl-PL"/>
        </w:rPr>
        <w:t>Δ</w:t>
      </w:r>
      <w:r w:rsidRPr="00882EDD">
        <w:rPr>
          <w:lang w:val="pl-PL"/>
        </w:rPr>
        <w:t>V/V</w:t>
      </w:r>
      <w:r w:rsidRPr="00882EDD">
        <w:rPr>
          <w:vertAlign w:val="subscript"/>
          <w:lang w:val="pl-PL"/>
        </w:rPr>
        <w:t>T</w:t>
      </w:r>
      <w:r w:rsidRPr="00882EDD">
        <w:rPr>
          <w:lang w:val="pl-PL"/>
        </w:rPr>
        <w:t>) -1)                                       (Equation S1.)</w:t>
      </w:r>
    </w:p>
    <w:p w:rsidR="006C05DE" w:rsidRPr="00882EDD" w:rsidRDefault="006C05DE" w:rsidP="006C05DE">
      <w:pPr>
        <w:spacing w:line="276" w:lineRule="auto"/>
        <w:jc w:val="both"/>
        <w:rPr>
          <w:lang w:val="pl-PL"/>
        </w:rPr>
      </w:pPr>
    </w:p>
    <w:p w:rsidR="006C05DE" w:rsidRPr="00882EDD" w:rsidRDefault="006C05DE" w:rsidP="006C05DE">
      <w:pPr>
        <w:spacing w:line="276" w:lineRule="auto"/>
        <w:jc w:val="both"/>
        <w:rPr>
          <w:lang w:val="pl-PL"/>
        </w:rPr>
      </w:pPr>
      <w:r w:rsidRPr="00B21E82">
        <w:rPr>
          <w:lang w:val="pl-PL"/>
        </w:rPr>
        <w:t>In which I is the applied current, I</w:t>
      </w:r>
      <w:r w:rsidRPr="00B21E82">
        <w:rPr>
          <w:vertAlign w:val="subscript"/>
          <w:lang w:val="pl-PL"/>
        </w:rPr>
        <w:t>s</w:t>
      </w:r>
      <w:r w:rsidRPr="00B21E82">
        <w:rPr>
          <w:lang w:val="pl-PL"/>
        </w:rPr>
        <w:t xml:space="preserve"> </w:t>
      </w:r>
      <w:r w:rsidRPr="00B21E82">
        <w:t xml:space="preserve">refers </w:t>
      </w:r>
      <w:r w:rsidRPr="00B21E82">
        <w:rPr>
          <w:lang w:val="pl-PL"/>
        </w:rPr>
        <w:t xml:space="preserve">to the saturation current, </w:t>
      </w:r>
      <w:r w:rsidRPr="00B21E82">
        <w:rPr>
          <w:rFonts w:eastAsia="宋体"/>
          <w:lang w:val="pl-PL"/>
        </w:rPr>
        <w:t>Δ</w:t>
      </w:r>
      <w:r w:rsidRPr="00B21E82">
        <w:rPr>
          <w:lang w:val="pl-PL"/>
        </w:rPr>
        <w:t>V is the voltage across the diode (in this case the voltage difference), and V</w:t>
      </w:r>
      <w:r w:rsidRPr="00B21E82">
        <w:rPr>
          <w:vertAlign w:val="subscript"/>
          <w:lang w:val="pl-PL"/>
        </w:rPr>
        <w:t xml:space="preserve">T </w:t>
      </w:r>
      <w:r w:rsidRPr="00B21E82">
        <w:rPr>
          <w:lang w:val="pl-PL"/>
        </w:rPr>
        <w:t>= k</w:t>
      </w:r>
      <w:r w:rsidRPr="00B21E82">
        <w:rPr>
          <w:vertAlign w:val="subscript"/>
          <w:lang w:val="pl-PL"/>
        </w:rPr>
        <w:t>B</w:t>
      </w:r>
      <w:r w:rsidRPr="00B21E82">
        <w:rPr>
          <w:lang w:val="pl-PL"/>
        </w:rPr>
        <w:t xml:space="preserve">T/q, </w:t>
      </w:r>
      <w:r w:rsidRPr="00B21E82">
        <w:t>is the</w:t>
      </w:r>
      <w:r w:rsidRPr="00B21E82">
        <w:rPr>
          <w:lang w:val="pl-PL"/>
        </w:rPr>
        <w:t xml:space="preserve"> thermal voltage </w:t>
      </w:r>
      <w:r w:rsidRPr="00B21E82">
        <w:t>which</w:t>
      </w:r>
      <w:r w:rsidRPr="00B21E82">
        <w:rPr>
          <w:lang w:val="pl-PL"/>
        </w:rPr>
        <w:t xml:space="preserve"> is a constant at </w:t>
      </w:r>
      <w:r w:rsidRPr="00B21E82">
        <w:t>a given</w:t>
      </w:r>
      <w:r w:rsidRPr="00B21E82">
        <w:rPr>
          <w:lang w:val="pl-PL"/>
        </w:rPr>
        <w:t xml:space="preserve"> temperature. As a result, log(I) is proportional to </w:t>
      </w:r>
      <w:r w:rsidRPr="00B21E82">
        <w:rPr>
          <w:rFonts w:eastAsia="宋体"/>
          <w:lang w:val="pl-PL"/>
        </w:rPr>
        <w:t>Δ</w:t>
      </w:r>
      <w:r w:rsidRPr="00B21E82">
        <w:rPr>
          <w:lang w:val="pl-PL"/>
        </w:rPr>
        <w:t>V, and, consequently, proprotional to the charge transfer degree.</w:t>
      </w:r>
    </w:p>
    <w:p w:rsidR="006C05DE" w:rsidRPr="00882EDD" w:rsidRDefault="006C05DE" w:rsidP="006C05DE">
      <w:pPr>
        <w:spacing w:line="276" w:lineRule="auto"/>
        <w:jc w:val="both"/>
        <w:rPr>
          <w:lang w:val="pl-PL"/>
        </w:rPr>
      </w:pPr>
      <w:r w:rsidRPr="00882EDD">
        <w:rPr>
          <w:lang w:val="pl-PL"/>
        </w:rPr>
        <w:tab/>
      </w:r>
    </w:p>
    <w:p w:rsidR="006C05DE" w:rsidRPr="00882EDD" w:rsidRDefault="006C05DE" w:rsidP="006C05DE">
      <w:pPr>
        <w:spacing w:line="276" w:lineRule="auto"/>
        <w:jc w:val="both"/>
        <w:rPr>
          <w:lang w:val="pl-PL"/>
        </w:rPr>
      </w:pPr>
      <w:r w:rsidRPr="00882EDD">
        <w:rPr>
          <w:lang w:val="pl-PL"/>
        </w:rPr>
        <w:t xml:space="preserve">From the experimental data, </w:t>
      </w:r>
      <w:r w:rsidRPr="00882EDD">
        <w:t xml:space="preserve">the </w:t>
      </w:r>
      <w:r w:rsidRPr="00882EDD">
        <w:rPr>
          <w:lang w:val="pl-PL"/>
        </w:rPr>
        <w:t xml:space="preserve">logarithm value of current is proportional to the shift of </w:t>
      </w:r>
      <w:r w:rsidRPr="00882EDD">
        <w:t xml:space="preserve">the </w:t>
      </w:r>
      <w:r w:rsidRPr="00882EDD">
        <w:rPr>
          <w:lang w:val="pl-PL"/>
        </w:rPr>
        <w:t>g-factor. The g-factor of the reference compound Li(TCNQCl</w:t>
      </w:r>
      <w:r w:rsidRPr="00882EDD">
        <w:rPr>
          <w:vertAlign w:val="subscript"/>
          <w:lang w:val="pl-PL"/>
        </w:rPr>
        <w:t>2</w:t>
      </w:r>
      <w:r w:rsidRPr="00882EDD">
        <w:rPr>
          <w:lang w:val="pl-PL"/>
        </w:rPr>
        <w:t>) is 1.99669, which is smaller than the zero-current g-factor for Ag(TCNQCl</w:t>
      </w:r>
      <w:r w:rsidRPr="00882EDD">
        <w:rPr>
          <w:vertAlign w:val="subscript"/>
          <w:lang w:val="pl-PL"/>
        </w:rPr>
        <w:t>2</w:t>
      </w:r>
      <w:r w:rsidRPr="00882EDD">
        <w:rPr>
          <w:lang w:val="pl-PL"/>
        </w:rPr>
        <w:t xml:space="preserve">) (2.00478), </w:t>
      </w:r>
      <w:r w:rsidRPr="00882EDD">
        <w:t xml:space="preserve">from which </w:t>
      </w:r>
      <w:r w:rsidRPr="00882EDD">
        <w:rPr>
          <w:lang w:val="pl-PL"/>
        </w:rPr>
        <w:t xml:space="preserve">it can be concluded that the hybridization between </w:t>
      </w:r>
      <w:r w:rsidRPr="00882EDD">
        <w:t xml:space="preserve">the </w:t>
      </w:r>
      <w:r w:rsidRPr="00882EDD">
        <w:rPr>
          <w:lang w:val="pl-PL"/>
        </w:rPr>
        <w:t>Ag 5s orbital and HOMO of TCNQCl</w:t>
      </w:r>
      <w:r w:rsidRPr="00882EDD">
        <w:rPr>
          <w:vertAlign w:val="subscript"/>
          <w:lang w:val="pl-PL"/>
        </w:rPr>
        <w:t>2</w:t>
      </w:r>
      <w:r w:rsidRPr="00882EDD">
        <w:rPr>
          <w:lang w:val="pl-PL"/>
        </w:rPr>
        <w:t xml:space="preserve"> will lead to a larger g</w:t>
      </w:r>
      <w:r w:rsidRPr="00882EDD">
        <w:rPr>
          <w:rFonts w:asciiTheme="minorEastAsia" w:hAnsiTheme="minorEastAsia"/>
          <w:vertAlign w:val="subscript"/>
          <w:lang w:val="pl-PL"/>
        </w:rPr>
        <w:t>⊥</w:t>
      </w:r>
      <w:r w:rsidRPr="00882EDD">
        <w:rPr>
          <w:lang w:val="pl-PL"/>
        </w:rPr>
        <w:t xml:space="preserve"> value. The </w:t>
      </w:r>
      <w:r w:rsidRPr="00882EDD">
        <w:t>increase in the</w:t>
      </w:r>
      <w:r w:rsidRPr="00882EDD">
        <w:rPr>
          <w:lang w:val="pl-PL"/>
        </w:rPr>
        <w:t xml:space="preserve"> g</w:t>
      </w:r>
      <w:r w:rsidRPr="00882EDD">
        <w:rPr>
          <w:rFonts w:asciiTheme="minorEastAsia" w:hAnsiTheme="minorEastAsia"/>
          <w:vertAlign w:val="subscript"/>
          <w:lang w:val="pl-PL"/>
        </w:rPr>
        <w:t>⊥</w:t>
      </w:r>
      <w:r w:rsidRPr="00882EDD">
        <w:rPr>
          <w:lang w:val="pl-PL"/>
        </w:rPr>
        <w:t xml:space="preserve"> value </w:t>
      </w:r>
      <w:r w:rsidRPr="00882EDD">
        <w:t>is expected to be</w:t>
      </w:r>
      <w:r w:rsidRPr="00882EDD">
        <w:rPr>
          <w:lang w:val="pl-PL"/>
        </w:rPr>
        <w:t xml:space="preserve"> proportional to the </w:t>
      </w:r>
      <w:r w:rsidRPr="00882EDD">
        <w:t xml:space="preserve">degree of </w:t>
      </w:r>
      <w:r w:rsidRPr="00882EDD">
        <w:rPr>
          <w:lang w:val="pl-PL"/>
        </w:rPr>
        <w:t>hybridization. Since the hybridization interaction must communicate through the CN-Ag coordination bond, the ligand metal charge transfer</w:t>
      </w:r>
      <w:r w:rsidRPr="00882EDD">
        <w:t xml:space="preserve"> </w:t>
      </w:r>
      <w:r w:rsidRPr="00882EDD">
        <w:rPr>
          <w:lang w:val="pl-PL"/>
        </w:rPr>
        <w:t>(LMCT) induced by current will lead to elongation and dis</w:t>
      </w:r>
      <w:r w:rsidRPr="00882EDD">
        <w:t>s</w:t>
      </w:r>
      <w:r w:rsidRPr="00882EDD">
        <w:rPr>
          <w:lang w:val="pl-PL"/>
        </w:rPr>
        <w:t xml:space="preserve">ociation of CN-Ag bonds, </w:t>
      </w:r>
      <w:r w:rsidRPr="00882EDD">
        <w:t xml:space="preserve">thereby </w:t>
      </w:r>
      <w:r w:rsidRPr="00882EDD">
        <w:rPr>
          <w:lang w:val="pl-PL"/>
        </w:rPr>
        <w:t>generating Ag(0) in the structure and decreas</w:t>
      </w:r>
      <w:r w:rsidRPr="00882EDD">
        <w:t>ing</w:t>
      </w:r>
      <w:r w:rsidRPr="00882EDD">
        <w:rPr>
          <w:lang w:val="pl-PL"/>
        </w:rPr>
        <w:t xml:space="preserve"> the hybridization degree. (Figure S</w:t>
      </w:r>
      <w:r w:rsidR="0018498A">
        <w:rPr>
          <w:rFonts w:eastAsiaTheme="minorEastAsia"/>
          <w:lang w:val="pl-PL" w:eastAsia="zh-CN"/>
        </w:rPr>
        <w:t>5</w:t>
      </w:r>
      <w:r w:rsidRPr="00882EDD">
        <w:rPr>
          <w:lang w:val="pl-PL"/>
        </w:rPr>
        <w:t>) Th</w:t>
      </w:r>
      <w:r w:rsidRPr="00882EDD">
        <w:t xml:space="preserve">is </w:t>
      </w:r>
      <w:r w:rsidRPr="00882EDD">
        <w:rPr>
          <w:lang w:val="pl-PL"/>
        </w:rPr>
        <w:t>suggests that the charge transfer degree is also proportional to the g</w:t>
      </w:r>
      <w:r w:rsidRPr="00882EDD">
        <w:rPr>
          <w:rFonts w:asciiTheme="minorEastAsia" w:hAnsiTheme="minorEastAsia"/>
          <w:vertAlign w:val="subscript"/>
          <w:lang w:val="pl-PL"/>
        </w:rPr>
        <w:t>⊥</w:t>
      </w:r>
      <w:r w:rsidRPr="00882EDD">
        <w:rPr>
          <w:lang w:val="pl-PL"/>
        </w:rPr>
        <w:t xml:space="preserve"> value shift. The relationship can be discribed as below:</w:t>
      </w:r>
    </w:p>
    <w:p w:rsidR="006C05DE" w:rsidRPr="00882EDD" w:rsidRDefault="006C05DE" w:rsidP="006C05DE">
      <w:pPr>
        <w:spacing w:line="276" w:lineRule="auto"/>
        <w:jc w:val="both"/>
        <w:rPr>
          <w:lang w:val="pl-PL"/>
        </w:rPr>
      </w:pPr>
    </w:p>
    <w:p w:rsidR="006C05DE" w:rsidRPr="00882EDD" w:rsidRDefault="006C05DE" w:rsidP="006C05DE">
      <w:pPr>
        <w:wordWrap w:val="0"/>
        <w:spacing w:line="276" w:lineRule="auto"/>
        <w:jc w:val="both"/>
      </w:pPr>
      <w:r w:rsidRPr="00882EDD">
        <w:rPr>
          <w:lang w:val="pl-PL"/>
        </w:rPr>
        <w:t>g = g</w:t>
      </w:r>
      <w:r w:rsidRPr="00882EDD">
        <w:rPr>
          <w:vertAlign w:val="subscript"/>
          <w:lang w:val="pl-PL"/>
        </w:rPr>
        <w:t>a</w:t>
      </w:r>
      <w:r w:rsidRPr="00882EDD">
        <w:rPr>
          <w:lang w:val="pl-PL"/>
        </w:rPr>
        <w:t>χ</w:t>
      </w:r>
      <w:r w:rsidRPr="00882EDD">
        <w:rPr>
          <w:vertAlign w:val="subscript"/>
          <w:lang w:val="pl-PL"/>
        </w:rPr>
        <w:t>a</w:t>
      </w:r>
      <w:r w:rsidRPr="00882EDD">
        <w:rPr>
          <w:lang w:val="pl-PL"/>
        </w:rPr>
        <w:t>/(χ</w:t>
      </w:r>
      <w:r w:rsidRPr="00882EDD">
        <w:rPr>
          <w:vertAlign w:val="subscript"/>
          <w:lang w:val="pl-PL"/>
        </w:rPr>
        <w:t>a</w:t>
      </w:r>
      <w:r w:rsidRPr="00882EDD">
        <w:rPr>
          <w:lang w:val="pl-PL"/>
        </w:rPr>
        <w:t>+χ</w:t>
      </w:r>
      <w:r w:rsidRPr="00882EDD">
        <w:rPr>
          <w:vertAlign w:val="subscript"/>
          <w:lang w:val="pl-PL"/>
        </w:rPr>
        <w:t>b</w:t>
      </w:r>
      <w:r w:rsidRPr="00882EDD">
        <w:rPr>
          <w:lang w:val="pl-PL"/>
        </w:rPr>
        <w:t>) + g</w:t>
      </w:r>
      <w:r w:rsidRPr="00882EDD">
        <w:rPr>
          <w:vertAlign w:val="subscript"/>
          <w:lang w:val="pl-PL"/>
        </w:rPr>
        <w:t>b</w:t>
      </w:r>
      <w:r w:rsidRPr="00882EDD">
        <w:rPr>
          <w:lang w:val="pl-PL"/>
        </w:rPr>
        <w:t>χ</w:t>
      </w:r>
      <w:r w:rsidRPr="00882EDD">
        <w:rPr>
          <w:vertAlign w:val="subscript"/>
          <w:lang w:val="pl-PL"/>
        </w:rPr>
        <w:t>b</w:t>
      </w:r>
      <w:r w:rsidRPr="00882EDD">
        <w:rPr>
          <w:lang w:val="pl-PL"/>
        </w:rPr>
        <w:t>/(χ</w:t>
      </w:r>
      <w:r w:rsidRPr="00882EDD">
        <w:rPr>
          <w:vertAlign w:val="subscript"/>
          <w:lang w:val="pl-PL"/>
        </w:rPr>
        <w:t>a</w:t>
      </w:r>
      <w:r w:rsidRPr="00882EDD">
        <w:rPr>
          <w:lang w:val="pl-PL"/>
        </w:rPr>
        <w:t>+χ</w:t>
      </w:r>
      <w:r w:rsidRPr="00882EDD">
        <w:rPr>
          <w:vertAlign w:val="subscript"/>
          <w:lang w:val="pl-PL"/>
        </w:rPr>
        <w:t>b</w:t>
      </w:r>
      <w:r w:rsidRPr="00882EDD">
        <w:rPr>
          <w:lang w:val="pl-PL"/>
        </w:rPr>
        <w:t>)                               (Equation S2)</w:t>
      </w:r>
    </w:p>
    <w:p w:rsidR="006C05DE" w:rsidRPr="00882EDD" w:rsidRDefault="006C05DE" w:rsidP="006C05DE">
      <w:pPr>
        <w:wordWrap w:val="0"/>
        <w:spacing w:line="276" w:lineRule="auto"/>
        <w:jc w:val="both"/>
      </w:pPr>
    </w:p>
    <w:p w:rsidR="006C05DE" w:rsidRPr="00882EDD" w:rsidRDefault="006C05DE" w:rsidP="006C05DE">
      <w:pPr>
        <w:spacing w:line="276" w:lineRule="auto"/>
        <w:jc w:val="both"/>
        <w:rPr>
          <w:lang w:val="pl-PL"/>
        </w:rPr>
      </w:pPr>
      <w:r w:rsidRPr="00882EDD">
        <w:rPr>
          <w:lang w:val="pl-PL"/>
        </w:rPr>
        <w:t>Here g</w:t>
      </w:r>
      <w:r w:rsidRPr="00882EDD">
        <w:rPr>
          <w:vertAlign w:val="subscript"/>
          <w:lang w:val="pl-PL"/>
        </w:rPr>
        <w:t>a</w:t>
      </w:r>
      <w:r w:rsidRPr="00882EDD">
        <w:rPr>
          <w:lang w:val="pl-PL"/>
        </w:rPr>
        <w:t xml:space="preserve"> is the g-tensor for a coordinated TCNQ radical, and g</w:t>
      </w:r>
      <w:r w:rsidRPr="00882EDD">
        <w:rPr>
          <w:vertAlign w:val="subscript"/>
          <w:lang w:val="pl-PL"/>
        </w:rPr>
        <w:t>b</w:t>
      </w:r>
      <w:r w:rsidRPr="00882EDD">
        <w:rPr>
          <w:lang w:val="pl-PL"/>
        </w:rPr>
        <w:t xml:space="preserve"> is the g-tensor for a free TCNQ</w:t>
      </w:r>
      <w:r w:rsidRPr="00882EDD">
        <w:t xml:space="preserve"> molecule</w:t>
      </w:r>
      <w:r w:rsidRPr="00882EDD">
        <w:rPr>
          <w:lang w:val="pl-PL"/>
        </w:rPr>
        <w:t>.</w:t>
      </w:r>
      <w:r w:rsidRPr="00882EDD">
        <w:t xml:space="preserve"> Althought the free TCNQ molecules </w:t>
      </w:r>
      <w:r>
        <w:t>normally have a closed</w:t>
      </w:r>
      <w:r w:rsidRPr="00882EDD">
        <w:t xml:space="preserve"> shell frontier orbital, it will </w:t>
      </w:r>
      <w:r>
        <w:t xml:space="preserve">share </w:t>
      </w:r>
      <w:r w:rsidRPr="00882EDD">
        <w:t>spin density with other TCNQ radicals as the electrons are highly delocalized as charge carriers in the stack</w:t>
      </w:r>
      <w:r>
        <w:t>s</w:t>
      </w:r>
      <w:r w:rsidRPr="00882EDD">
        <w:t xml:space="preserve"> of TCNQ. The </w:t>
      </w:r>
      <w:r w:rsidRPr="00882EDD">
        <w:rPr>
          <w:lang w:val="pl-PL"/>
        </w:rPr>
        <w:t>χ</w:t>
      </w:r>
      <w:r w:rsidRPr="00882EDD">
        <w:rPr>
          <w:vertAlign w:val="subscript"/>
          <w:lang w:val="pl-PL"/>
        </w:rPr>
        <w:t>a</w:t>
      </w:r>
      <w:r w:rsidRPr="00882EDD">
        <w:rPr>
          <w:lang w:val="pl-PL"/>
        </w:rPr>
        <w:t>, χ</w:t>
      </w:r>
      <w:r w:rsidRPr="00882EDD">
        <w:rPr>
          <w:vertAlign w:val="subscript"/>
          <w:lang w:val="pl-PL"/>
        </w:rPr>
        <w:t>b</w:t>
      </w:r>
      <w:r w:rsidRPr="00882EDD">
        <w:rPr>
          <w:lang w:val="pl-PL"/>
        </w:rPr>
        <w:t xml:space="preserve"> </w:t>
      </w:r>
      <w:r w:rsidRPr="00882EDD">
        <w:t xml:space="preserve">values </w:t>
      </w:r>
      <w:r w:rsidRPr="00882EDD">
        <w:rPr>
          <w:lang w:val="pl-PL"/>
        </w:rPr>
        <w:t xml:space="preserve">are the susceptibility of coordinated and ”free” TCNQ and </w:t>
      </w:r>
      <w:r w:rsidRPr="00882EDD">
        <w:t xml:space="preserve">are </w:t>
      </w:r>
      <w:r w:rsidRPr="00882EDD">
        <w:rPr>
          <w:lang w:val="pl-PL"/>
        </w:rPr>
        <w:t>proportional to their concentration</w:t>
      </w:r>
      <w:r>
        <w:rPr>
          <w:lang w:val="pl-PL"/>
        </w:rPr>
        <w:t>s</w:t>
      </w:r>
      <w:r w:rsidRPr="00882EDD">
        <w:rPr>
          <w:lang w:val="pl-PL"/>
        </w:rPr>
        <w:t xml:space="preserve"> in the </w:t>
      </w:r>
      <w:r w:rsidRPr="00882EDD">
        <w:t>structure</w:t>
      </w:r>
      <w:r w:rsidRPr="00882EDD">
        <w:rPr>
          <w:lang w:val="pl-PL"/>
        </w:rPr>
        <w:t xml:space="preserve">. As a result, </w:t>
      </w:r>
      <w:r>
        <w:rPr>
          <w:lang w:val="pl-PL"/>
        </w:rPr>
        <w:t xml:space="preserve">the </w:t>
      </w:r>
      <w:r w:rsidRPr="00882EDD">
        <w:rPr>
          <w:lang w:val="pl-PL"/>
        </w:rPr>
        <w:t>g-tensor shift is proportional to the charge transfer degree.</w:t>
      </w:r>
    </w:p>
    <w:p w:rsidR="006C05DE" w:rsidRPr="00882EDD" w:rsidRDefault="006C05DE" w:rsidP="006C05DE">
      <w:pPr>
        <w:spacing w:line="276" w:lineRule="auto"/>
        <w:jc w:val="both"/>
        <w:rPr>
          <w:lang w:val="pl-PL"/>
        </w:rPr>
      </w:pPr>
    </w:p>
    <w:p w:rsidR="006C05DE" w:rsidRPr="00882EDD" w:rsidRDefault="006C05DE" w:rsidP="006C05DE">
      <w:pPr>
        <w:spacing w:line="276" w:lineRule="auto"/>
        <w:jc w:val="both"/>
        <w:rPr>
          <w:lang w:val="pl-PL"/>
        </w:rPr>
      </w:pPr>
      <w:r w:rsidRPr="00882EDD">
        <w:rPr>
          <w:lang w:val="pl-PL"/>
        </w:rPr>
        <w:t>Given the fact that</w:t>
      </w:r>
      <w:r w:rsidRPr="00882EDD">
        <w:t xml:space="preserve"> the</w:t>
      </w:r>
      <w:r w:rsidRPr="00882EDD">
        <w:rPr>
          <w:lang w:val="pl-PL"/>
        </w:rPr>
        <w:t xml:space="preserve"> logarithm</w:t>
      </w:r>
      <w:r w:rsidRPr="00882EDD">
        <w:t>ic</w:t>
      </w:r>
      <w:r w:rsidRPr="00882EDD">
        <w:rPr>
          <w:lang w:val="pl-PL"/>
        </w:rPr>
        <w:t xml:space="preserve"> value of current is proportional to the shift of g-factor, it is suggested that the logarithm value of current is proportional to the charge transfer degree, which </w:t>
      </w:r>
      <w:r w:rsidRPr="00882EDD">
        <w:t>c</w:t>
      </w:r>
      <w:r w:rsidRPr="00882EDD">
        <w:rPr>
          <w:lang w:val="pl-PL"/>
        </w:rPr>
        <w:t>orresponds to the model mentioned above.</w:t>
      </w:r>
    </w:p>
    <w:p w:rsidR="006C05DE" w:rsidRPr="00882EDD" w:rsidRDefault="006C05DE" w:rsidP="006C05DE">
      <w:r w:rsidRPr="00882EDD">
        <w:object w:dxaOrig="10361" w:dyaOrig="6821">
          <v:shape id="_x0000_i1027" type="#_x0000_t75" style="width:445pt;height:291.5pt" o:ole="">
            <v:imagedata r:id="rId13" o:title=""/>
          </v:shape>
          <o:OLEObject Type="Embed" ProgID="ChemDraw.Document.6.0" ShapeID="_x0000_i1027" DrawAspect="Content" ObjectID="_1317816095" r:id="rId14"/>
        </w:object>
      </w:r>
    </w:p>
    <w:p w:rsidR="006C05DE" w:rsidRPr="00882EDD" w:rsidRDefault="006C05DE" w:rsidP="006C05DE">
      <w:pPr>
        <w:rPr>
          <w:lang w:val="pl-PL"/>
        </w:rPr>
      </w:pPr>
      <w:r w:rsidRPr="00882EDD">
        <w:rPr>
          <w:b/>
          <w:lang w:val="pl-PL"/>
        </w:rPr>
        <w:t>Figure S</w:t>
      </w:r>
      <w:r w:rsidR="0018498A">
        <w:rPr>
          <w:rFonts w:eastAsiaTheme="minorEastAsia"/>
          <w:b/>
          <w:lang w:val="pl-PL" w:eastAsia="zh-CN"/>
        </w:rPr>
        <w:t>5</w:t>
      </w:r>
      <w:r w:rsidRPr="00882EDD">
        <w:rPr>
          <w:b/>
          <w:lang w:val="pl-PL"/>
        </w:rPr>
        <w:t xml:space="preserve">. </w:t>
      </w:r>
      <w:r w:rsidRPr="00882EDD">
        <w:rPr>
          <w:lang w:val="pl-PL"/>
        </w:rPr>
        <w:t>The hybridization-decomposition model of g-value shifting.</w:t>
      </w:r>
    </w:p>
    <w:p w:rsidR="006C05DE" w:rsidRPr="00882EDD" w:rsidRDefault="006C05DE" w:rsidP="006C05DE">
      <w:pPr>
        <w:rPr>
          <w:lang w:val="pl-PL"/>
        </w:rPr>
      </w:pPr>
    </w:p>
    <w:p w:rsidR="006C05DE" w:rsidRPr="00882EDD" w:rsidRDefault="006C05DE" w:rsidP="006C05DE">
      <w:pPr>
        <w:spacing w:line="276" w:lineRule="auto"/>
        <w:jc w:val="both"/>
        <w:rPr>
          <w:lang w:val="pl-PL"/>
        </w:rPr>
      </w:pPr>
      <w:r w:rsidRPr="00882EDD">
        <w:t xml:space="preserve">It should be pointed out that </w:t>
      </w:r>
      <w:r w:rsidRPr="00882EDD">
        <w:rPr>
          <w:lang w:val="pl-PL"/>
        </w:rPr>
        <w:t xml:space="preserve">the phenomenon is not </w:t>
      </w:r>
      <w:r w:rsidRPr="00882EDD">
        <w:t>restricted to</w:t>
      </w:r>
      <w:r w:rsidRPr="00882EDD">
        <w:rPr>
          <w:lang w:val="pl-PL"/>
        </w:rPr>
        <w:t xml:space="preserve"> one direction in these compounds, as the symmetry of the crystal structures allow</w:t>
      </w:r>
      <w:r w:rsidRPr="00882EDD">
        <w:t>s for</w:t>
      </w:r>
      <w:r w:rsidRPr="00882EDD">
        <w:rPr>
          <w:lang w:val="pl-PL"/>
        </w:rPr>
        <w:t xml:space="preserve"> interactions between multiple stacks of TCNQ radicals and metal cation stacks.</w:t>
      </w:r>
    </w:p>
    <w:p w:rsidR="006C05DE" w:rsidRPr="00882EDD" w:rsidRDefault="006C05DE" w:rsidP="006C05DE">
      <w:pPr>
        <w:rPr>
          <w:lang w:val="pl-PL"/>
        </w:rPr>
      </w:pPr>
    </w:p>
    <w:p w:rsidR="006C05DE" w:rsidRPr="00882EDD" w:rsidRDefault="006C05DE" w:rsidP="006C05DE">
      <w:pPr>
        <w:spacing w:line="276" w:lineRule="auto"/>
        <w:jc w:val="both"/>
        <w:rPr>
          <w:lang w:val="pl-PL"/>
        </w:rPr>
      </w:pPr>
      <w:r w:rsidRPr="00882EDD">
        <w:rPr>
          <w:lang w:val="pl-PL"/>
        </w:rPr>
        <w:t xml:space="preserve">From </w:t>
      </w:r>
      <w:r w:rsidRPr="00882EDD">
        <w:t>the combined results of this study</w:t>
      </w:r>
      <w:r w:rsidRPr="00882EDD">
        <w:rPr>
          <w:lang w:val="pl-PL"/>
        </w:rPr>
        <w:t xml:space="preserve">, </w:t>
      </w:r>
      <w:r w:rsidRPr="00882EDD">
        <w:t>we conclude that the</w:t>
      </w:r>
      <w:r w:rsidRPr="00882EDD">
        <w:rPr>
          <w:lang w:val="pl-PL"/>
        </w:rPr>
        <w:t xml:space="preserve"> hypothesized mechanism of LMCT which leads to the generation of Cu(0) or Ag(0) is correct and </w:t>
      </w:r>
      <w:r w:rsidRPr="00882EDD">
        <w:t xml:space="preserve">that it </w:t>
      </w:r>
      <w:r w:rsidRPr="00882EDD">
        <w:rPr>
          <w:lang w:val="pl-PL"/>
        </w:rPr>
        <w:t>can be observed</w:t>
      </w:r>
      <w:r w:rsidRPr="00882EDD">
        <w:t xml:space="preserve"> in real time</w:t>
      </w:r>
      <w:r w:rsidRPr="00882EDD">
        <w:rPr>
          <w:lang w:val="pl-PL"/>
        </w:rPr>
        <w:t>. The electron density on</w:t>
      </w:r>
      <w:r w:rsidRPr="00882EDD">
        <w:t xml:space="preserve"> the</w:t>
      </w:r>
      <w:r w:rsidRPr="00882EDD">
        <w:rPr>
          <w:lang w:val="pl-PL"/>
        </w:rPr>
        <w:t xml:space="preserve"> s orbitals of the metals leads to a doping </w:t>
      </w:r>
      <w:r w:rsidRPr="00882EDD">
        <w:t>o</w:t>
      </w:r>
      <w:r>
        <w:t>f</w:t>
      </w:r>
      <w:r w:rsidRPr="00882EDD">
        <w:rPr>
          <w:lang w:val="pl-PL"/>
        </w:rPr>
        <w:t xml:space="preserve"> the</w:t>
      </w:r>
      <w:r w:rsidRPr="00882EDD">
        <w:t xml:space="preserve"> purely</w:t>
      </w:r>
      <w:r w:rsidRPr="00882EDD">
        <w:rPr>
          <w:lang w:val="pl-PL"/>
        </w:rPr>
        <w:t xml:space="preserve"> Mott insulating state of </w:t>
      </w:r>
      <w:r w:rsidRPr="00882EDD">
        <w:t xml:space="preserve">evenly spaced </w:t>
      </w:r>
      <w:r w:rsidRPr="00882EDD">
        <w:rPr>
          <w:lang w:val="pl-PL"/>
        </w:rPr>
        <w:t xml:space="preserve">TCNQ radicals </w:t>
      </w:r>
      <w:r w:rsidRPr="00882EDD">
        <w:t>in stacks</w:t>
      </w:r>
      <w:r w:rsidRPr="00882EDD">
        <w:rPr>
          <w:lang w:val="pl-PL"/>
        </w:rPr>
        <w:t xml:space="preserve">, </w:t>
      </w:r>
      <w:r w:rsidRPr="00882EDD">
        <w:t>with the result being</w:t>
      </w:r>
      <w:r w:rsidRPr="00882EDD">
        <w:rPr>
          <w:lang w:val="pl-PL"/>
        </w:rPr>
        <w:t xml:space="preserve"> a decrease in the on</w:t>
      </w:r>
      <w:r>
        <w:rPr>
          <w:lang w:val="pl-PL"/>
        </w:rPr>
        <w:t>-</w:t>
      </w:r>
      <w:r w:rsidRPr="00882EDD">
        <w:rPr>
          <w:lang w:val="pl-PL"/>
        </w:rPr>
        <w:t>site Coulomb repulsion and an increase in conductivity.</w:t>
      </w:r>
    </w:p>
    <w:p w:rsidR="006C05DE" w:rsidRPr="00882EDD" w:rsidRDefault="006C05DE" w:rsidP="006C05DE">
      <w:pPr>
        <w:rPr>
          <w:lang w:val="pl-PL"/>
        </w:rPr>
      </w:pPr>
    </w:p>
    <w:p w:rsidR="00B96328" w:rsidRDefault="00B96328">
      <w:pPr>
        <w:rPr>
          <w:b/>
          <w:lang w:val="en-US"/>
        </w:rPr>
      </w:pPr>
      <w:r>
        <w:rPr>
          <w:b/>
          <w:lang w:val="en-US"/>
        </w:rPr>
        <w:br w:type="page"/>
      </w:r>
    </w:p>
    <w:p w:rsidR="00B96328" w:rsidRDefault="00B96328" w:rsidP="006C05DE">
      <w:pPr>
        <w:rPr>
          <w:b/>
          <w:lang w:val="en-US"/>
        </w:rPr>
      </w:pPr>
      <w:r>
        <w:rPr>
          <w:b/>
          <w:lang w:val="en-US"/>
        </w:rPr>
        <w:t>4, Experimental Section</w:t>
      </w:r>
    </w:p>
    <w:p w:rsidR="00B96328" w:rsidRPr="00B96328" w:rsidRDefault="00B96328" w:rsidP="00B96328">
      <w:pPr>
        <w:spacing w:before="240"/>
        <w:ind w:rightChars="-27" w:right="-65"/>
        <w:jc w:val="both"/>
      </w:pPr>
      <w:r w:rsidRPr="00B96328">
        <w:t>The ligands TCNQCl</w:t>
      </w:r>
      <w:r w:rsidRPr="00B96328">
        <w:rPr>
          <w:vertAlign w:val="subscript"/>
        </w:rPr>
        <w:t>2</w:t>
      </w:r>
      <w:r w:rsidRPr="00B96328">
        <w:t xml:space="preserve"> and TCNQBr</w:t>
      </w:r>
      <w:r w:rsidRPr="00B96328">
        <w:rPr>
          <w:vertAlign w:val="subscript"/>
        </w:rPr>
        <w:t xml:space="preserve">2 </w:t>
      </w:r>
      <w:r w:rsidRPr="00B96328">
        <w:t>were synthesized by a procedure that is similar to the preparation of TCNQCF</w:t>
      </w:r>
      <w:r w:rsidRPr="00B96328">
        <w:rPr>
          <w:vertAlign w:val="subscript"/>
        </w:rPr>
        <w:t>3</w:t>
      </w:r>
      <w:r w:rsidRPr="00B96328">
        <w:t>.</w:t>
      </w:r>
      <w:r>
        <w:rPr>
          <w:vertAlign w:val="superscript"/>
        </w:rPr>
        <w:t>S3</w:t>
      </w:r>
      <w:r w:rsidRPr="00B96328">
        <w:t xml:space="preserve"> The starting materials, 1,4-dichloro-2,5- diiodobenzene and 1,4-dibromo-2,5-diiodobenzene were obtained from the iodination of benzene. </w:t>
      </w:r>
    </w:p>
    <w:p w:rsidR="00B96328" w:rsidRPr="00B96328" w:rsidRDefault="00B96328" w:rsidP="00B96328">
      <w:pPr>
        <w:ind w:rightChars="-27" w:right="-65"/>
        <w:jc w:val="both"/>
      </w:pPr>
    </w:p>
    <w:p w:rsidR="00B96328" w:rsidRPr="00B96328" w:rsidRDefault="00B96328" w:rsidP="00B96328">
      <w:pPr>
        <w:ind w:rightChars="-27" w:right="-65"/>
        <w:jc w:val="both"/>
      </w:pPr>
      <w:r w:rsidRPr="00B96328">
        <w:rPr>
          <w:i/>
        </w:rPr>
        <w:t>Synthesis of Ag(TCNQCl</w:t>
      </w:r>
      <w:r w:rsidRPr="00B96328">
        <w:rPr>
          <w:i/>
          <w:vertAlign w:val="subscript"/>
        </w:rPr>
        <w:t>2</w:t>
      </w:r>
      <w:r w:rsidRPr="00B96328">
        <w:rPr>
          <w:i/>
        </w:rPr>
        <w:t>), (</w:t>
      </w:r>
      <w:r w:rsidRPr="00B96328">
        <w:rPr>
          <w:b/>
          <w:i/>
        </w:rPr>
        <w:t>1</w:t>
      </w:r>
      <w:r w:rsidRPr="00B96328">
        <w:rPr>
          <w:i/>
        </w:rPr>
        <w:t>):</w:t>
      </w:r>
      <w:r w:rsidRPr="00B96328">
        <w:t xml:space="preserve"> An electrocrystallization cell was equipped with a silver electrode as the anode and an inert-platinum electrode as the cathode in two compartments separated by a medium porosity frit. The anode side was filled with 5 mL of CH</w:t>
      </w:r>
      <w:r w:rsidRPr="00B96328">
        <w:rPr>
          <w:vertAlign w:val="subscript"/>
        </w:rPr>
        <w:t>3</w:t>
      </w:r>
      <w:r w:rsidRPr="00B96328">
        <w:t>CN and 2.5 mL of CH</w:t>
      </w:r>
      <w:r w:rsidRPr="00B96328">
        <w:rPr>
          <w:vertAlign w:val="subscript"/>
        </w:rPr>
        <w:t>3</w:t>
      </w:r>
      <w:r w:rsidRPr="00B96328">
        <w:t>OH and the cathode side was filled with 7.5 mL of CH</w:t>
      </w:r>
      <w:r w:rsidRPr="00B96328">
        <w:rPr>
          <w:vertAlign w:val="subscript"/>
        </w:rPr>
        <w:t>3</w:t>
      </w:r>
      <w:r w:rsidRPr="00B96328">
        <w:t>CN and 54 mg (0.2mmol) of TCNQCl</w:t>
      </w:r>
      <w:r w:rsidRPr="00B96328">
        <w:rPr>
          <w:vertAlign w:val="subscript"/>
        </w:rPr>
        <w:t>2</w:t>
      </w:r>
      <w:r w:rsidRPr="00B96328">
        <w:t xml:space="preserve"> which settled out as a suspension. The applyied current was set in the range of 2.5 </w:t>
      </w:r>
      <w:r w:rsidRPr="00B96328">
        <w:rPr>
          <w:rFonts w:eastAsia="宋体"/>
        </w:rPr>
        <w:t>μ</w:t>
      </w:r>
      <w:r w:rsidRPr="00B96328">
        <w:t xml:space="preserve">A to 3.0 </w:t>
      </w:r>
      <w:r w:rsidRPr="00B96328">
        <w:rPr>
          <w:rFonts w:eastAsia="宋体"/>
        </w:rPr>
        <w:t>μ</w:t>
      </w:r>
      <w:r w:rsidRPr="00B96328">
        <w:t>A to obtain a product of the best crystallinity. After 2 days, a dark greenish crystalline film was observed to be present on both electrodes. Elemental Analysis: Calc%: C, 37.83, H, 0.53, N, 14.71, Cl, 18.61. Anal%: C, 37.94, H, 0.43, N, 14.70, Cl, 18.33.</w:t>
      </w:r>
    </w:p>
    <w:p w:rsidR="00B96328" w:rsidRPr="00B96328" w:rsidRDefault="00B96328" w:rsidP="00B96328">
      <w:pPr>
        <w:ind w:rightChars="-27" w:right="-65"/>
        <w:jc w:val="both"/>
      </w:pPr>
    </w:p>
    <w:p w:rsidR="00B96328" w:rsidRDefault="00B96328" w:rsidP="00B96328">
      <w:pPr>
        <w:ind w:rightChars="-27" w:right="-65"/>
        <w:jc w:val="both"/>
        <w:rPr>
          <w:rFonts w:eastAsiaTheme="minorEastAsia"/>
          <w:lang w:eastAsia="zh-CN"/>
        </w:rPr>
      </w:pPr>
      <w:r w:rsidRPr="00B96328">
        <w:rPr>
          <w:i/>
        </w:rPr>
        <w:t>Synthesis of Ag(TCNQBr</w:t>
      </w:r>
      <w:r w:rsidRPr="00B96328">
        <w:rPr>
          <w:i/>
          <w:vertAlign w:val="subscript"/>
        </w:rPr>
        <w:t>2</w:t>
      </w:r>
      <w:r w:rsidRPr="00B96328">
        <w:rPr>
          <w:i/>
        </w:rPr>
        <w:t>), (</w:t>
      </w:r>
      <w:r w:rsidRPr="00B96328">
        <w:rPr>
          <w:b/>
          <w:i/>
        </w:rPr>
        <w:t>2</w:t>
      </w:r>
      <w:r w:rsidRPr="00B96328">
        <w:rPr>
          <w:i/>
        </w:rPr>
        <w:t>):</w:t>
      </w:r>
      <w:r w:rsidRPr="00B96328">
        <w:t xml:space="preserve"> The electrocrystallization set-up is the same as fort he aforementioned case. The anode side was filled with 5 mL of CH</w:t>
      </w:r>
      <w:r w:rsidRPr="00B96328">
        <w:rPr>
          <w:vertAlign w:val="subscript"/>
        </w:rPr>
        <w:t>3</w:t>
      </w:r>
      <w:r w:rsidRPr="00B96328">
        <w:t>CN and 2.5 mL of CH</w:t>
      </w:r>
      <w:r w:rsidRPr="00B96328">
        <w:rPr>
          <w:vertAlign w:val="subscript"/>
        </w:rPr>
        <w:t>3</w:t>
      </w:r>
      <w:r w:rsidRPr="00B96328">
        <w:t>OH, and the cathode side was filled with 7.5 mL of CH</w:t>
      </w:r>
      <w:r w:rsidRPr="00B96328">
        <w:rPr>
          <w:vertAlign w:val="subscript"/>
          <w:lang w:val="en-US"/>
        </w:rPr>
        <w:t>3</w:t>
      </w:r>
      <w:r w:rsidRPr="00B96328">
        <w:t>CN with a suspension of 72 mg (0.2mmol) of TCNQBr</w:t>
      </w:r>
      <w:r w:rsidRPr="00B96328">
        <w:rPr>
          <w:vertAlign w:val="subscript"/>
        </w:rPr>
        <w:t>2</w:t>
      </w:r>
      <w:r w:rsidRPr="00B96328">
        <w:t>. The applied current was adjusted from 1.5</w:t>
      </w:r>
      <w:r w:rsidRPr="00B96328">
        <w:rPr>
          <w:rFonts w:eastAsia="宋体"/>
        </w:rPr>
        <w:t>μ</w:t>
      </w:r>
      <w:r w:rsidRPr="00B96328">
        <w:t>A to 2.3</w:t>
      </w:r>
      <w:r w:rsidRPr="00B96328">
        <w:rPr>
          <w:rFonts w:eastAsia="宋体"/>
        </w:rPr>
        <w:t>μ</w:t>
      </w:r>
      <w:r w:rsidRPr="00B96328">
        <w:t>A to obtain the best crystallinity. After 2 days dark purple crystalline film was found to be present on the surfaces of both electrodes. Elemental Analysis: Calc%: C, 30.68, H, 0.43, N, 11.92,. Anal%: C, 31.14 H, 0.30, N, 11.83.</w:t>
      </w:r>
    </w:p>
    <w:p w:rsidR="00E53891" w:rsidRPr="00E53891" w:rsidRDefault="00E53891" w:rsidP="00B96328">
      <w:pPr>
        <w:ind w:rightChars="-27" w:right="-65"/>
        <w:jc w:val="both"/>
        <w:rPr>
          <w:rFonts w:eastAsiaTheme="minorEastAsia"/>
          <w:lang w:eastAsia="zh-CN"/>
        </w:rPr>
      </w:pPr>
    </w:p>
    <w:p w:rsidR="00B96328" w:rsidRPr="00B96328" w:rsidRDefault="00B96328" w:rsidP="00B96328">
      <w:pPr>
        <w:ind w:rightChars="-27" w:right="-65"/>
        <w:jc w:val="both"/>
      </w:pPr>
      <w:r w:rsidRPr="00B96328">
        <w:rPr>
          <w:i/>
        </w:rPr>
        <w:t>Thin film preparation of Ag(TCNQX</w:t>
      </w:r>
      <w:r w:rsidRPr="00B96328">
        <w:rPr>
          <w:i/>
          <w:vertAlign w:val="subscript"/>
        </w:rPr>
        <w:t>2</w:t>
      </w:r>
      <w:r w:rsidRPr="00B96328">
        <w:rPr>
          <w:i/>
        </w:rPr>
        <w:t xml:space="preserve">)(X =Cl, Br): </w:t>
      </w:r>
      <w:r w:rsidRPr="00B96328">
        <w:t>A piece of Ag foil with a 1 cm</w:t>
      </w:r>
      <w:r w:rsidRPr="00B96328">
        <w:rPr>
          <w:vertAlign w:val="superscript"/>
        </w:rPr>
        <w:t>2</w:t>
      </w:r>
      <w:r w:rsidRPr="00B96328">
        <w:t xml:space="preserve"> area was pre-cleaned by soaking in 1M HNO</w:t>
      </w:r>
      <w:r w:rsidRPr="00B96328">
        <w:rPr>
          <w:vertAlign w:val="subscript"/>
        </w:rPr>
        <w:t>3</w:t>
      </w:r>
      <w:r w:rsidRPr="00B96328">
        <w:t xml:space="preserve"> for 30 minutes and then rinsed with water followed by ethanol and dried in </w:t>
      </w:r>
      <w:r w:rsidRPr="00B96328">
        <w:rPr>
          <w:i/>
        </w:rPr>
        <w:t>vacuo</w:t>
      </w:r>
      <w:r w:rsidRPr="00B96328">
        <w:t>. The foil was immersed in 20 mL of a 0.05 mmol CH</w:t>
      </w:r>
      <w:r w:rsidRPr="00B96328">
        <w:rPr>
          <w:vertAlign w:val="subscript"/>
        </w:rPr>
        <w:t>3</w:t>
      </w:r>
      <w:r w:rsidRPr="00B96328">
        <w:t>CN solution of TCNQX</w:t>
      </w:r>
      <w:r w:rsidRPr="00B96328">
        <w:rPr>
          <w:vertAlign w:val="subscript"/>
        </w:rPr>
        <w:t>2</w:t>
      </w:r>
      <w:r w:rsidRPr="00B96328">
        <w:t xml:space="preserve"> which led to the instantaneous formation of a dark purple film. After immersion for 30 minutes the foil was removed from the solution, rinsed with acetonitrile and dried in </w:t>
      </w:r>
      <w:r w:rsidRPr="00B96328">
        <w:rPr>
          <w:i/>
        </w:rPr>
        <w:t>vacuo.</w:t>
      </w:r>
      <w:r w:rsidRPr="00B96328">
        <w:t xml:space="preserve"> </w:t>
      </w:r>
    </w:p>
    <w:p w:rsidR="00B96328" w:rsidRPr="00B96328" w:rsidRDefault="00B96328" w:rsidP="00B96328">
      <w:pPr>
        <w:ind w:rightChars="-27" w:right="-65"/>
        <w:jc w:val="both"/>
        <w:rPr>
          <w:i/>
        </w:rPr>
      </w:pPr>
    </w:p>
    <w:p w:rsidR="00B96328" w:rsidRPr="00B96328" w:rsidRDefault="00B96328" w:rsidP="00B96328">
      <w:pPr>
        <w:ind w:rightChars="-27" w:right="-65"/>
        <w:jc w:val="both"/>
      </w:pPr>
      <w:r w:rsidRPr="00B96328">
        <w:rPr>
          <w:i/>
        </w:rPr>
        <w:t>Single crystal data collection</w:t>
      </w:r>
      <w:r w:rsidRPr="00B96328">
        <w:t>: Single crystal diffraction data were collected at 110K at the ChemMatCars beamline 15-ID-B at the Advanced Photon Source (APS), Argonne National Lab. The data collection strategy consisted of obtaining two ω-scans with one full-sphere and one half-sphere for a total 1080 frames with a 0.5</w:t>
      </w:r>
      <w:r w:rsidRPr="00B96328">
        <w:rPr>
          <w:rFonts w:eastAsia="宋体"/>
        </w:rPr>
        <w:t>º width.</w:t>
      </w:r>
      <w:r w:rsidRPr="00B96328">
        <w:t xml:space="preserve"> Integration was performed with the Bruker-APEXII software package, and the absorption correction </w:t>
      </w:r>
      <w:r w:rsidRPr="00B96328">
        <w:rPr>
          <w:rFonts w:eastAsia="AdvTTR"/>
        </w:rPr>
        <w:t>(SADABS) was based on fitting a function to the empirical transmission surface as sampled by multiple equivalent measurements.  A large correction was adopted considering the presence of the heavy atoms Br and Ag. Solution and refinement of the crystal structure was performed with the SHELX programs</w:t>
      </w:r>
      <w:r w:rsidRPr="00B96328">
        <w:rPr>
          <w:rFonts w:eastAsia="AdvTTR" w:hint="eastAsia"/>
          <w:lang w:eastAsia="zh-CN"/>
        </w:rPr>
        <w:t xml:space="preserve"> </w:t>
      </w:r>
      <w:r>
        <w:rPr>
          <w:rFonts w:eastAsia="AdvTTR"/>
          <w:vertAlign w:val="superscript"/>
          <w:lang w:eastAsia="zh-CN"/>
        </w:rPr>
        <w:t>S4</w:t>
      </w:r>
      <w:r w:rsidRPr="00B96328">
        <w:rPr>
          <w:rFonts w:eastAsia="AdvTTR" w:hint="eastAsia"/>
          <w:vertAlign w:val="superscript"/>
          <w:lang w:eastAsia="zh-CN"/>
        </w:rPr>
        <w:t xml:space="preserve"> </w:t>
      </w:r>
      <w:r w:rsidRPr="00B96328">
        <w:rPr>
          <w:rFonts w:eastAsia="AdvTTR"/>
        </w:rPr>
        <w:t xml:space="preserve">and the graphical interface X-SEED. All non-hydrogen atoms were assigned in the difference Fourier maps after several rounds of least square refinements. The hydrogen atoms were placed in calculated positions. </w:t>
      </w:r>
      <w:r w:rsidRPr="00B96328">
        <w:rPr>
          <w:rFonts w:hint="eastAsia"/>
        </w:rPr>
        <w:t>Crystallograph</w:t>
      </w:r>
      <w:r w:rsidRPr="00B96328">
        <w:t>ic</w:t>
      </w:r>
      <w:r w:rsidRPr="00B96328">
        <w:rPr>
          <w:rFonts w:hint="eastAsia"/>
        </w:rPr>
        <w:t xml:space="preserve"> </w:t>
      </w:r>
      <w:r w:rsidRPr="00B96328">
        <w:t>details have been deposited</w:t>
      </w:r>
      <w:r w:rsidRPr="00B96328">
        <w:rPr>
          <w:rFonts w:hint="eastAsia"/>
        </w:rPr>
        <w:t xml:space="preserve"> </w:t>
      </w:r>
      <w:r w:rsidRPr="00B96328">
        <w:t>as</w:t>
      </w:r>
      <w:r w:rsidRPr="00B96328">
        <w:rPr>
          <w:rFonts w:hint="eastAsia"/>
        </w:rPr>
        <w:t xml:space="preserve"> supplementary information (Table S1.)</w:t>
      </w:r>
    </w:p>
    <w:p w:rsidR="00B96328" w:rsidRPr="00B96328" w:rsidRDefault="00B96328" w:rsidP="00B96328">
      <w:pPr>
        <w:ind w:rightChars="-27" w:right="-65"/>
        <w:jc w:val="both"/>
        <w:rPr>
          <w:i/>
        </w:rPr>
      </w:pPr>
    </w:p>
    <w:p w:rsidR="00B96328" w:rsidRPr="00096AE8" w:rsidRDefault="00B96328" w:rsidP="00B96328">
      <w:pPr>
        <w:ind w:rightChars="-27" w:right="-65"/>
        <w:jc w:val="both"/>
        <w:rPr>
          <w:rFonts w:eastAsia="宋体"/>
        </w:rPr>
      </w:pPr>
      <w:bookmarkStart w:id="0" w:name="_GoBack"/>
      <w:bookmarkEnd w:id="0"/>
      <w:r w:rsidRPr="00096AE8">
        <w:rPr>
          <w:i/>
        </w:rPr>
        <w:t>Conductivity data collection</w:t>
      </w:r>
      <w:r w:rsidRPr="00096AE8">
        <w:t xml:space="preserve">: Temperature dependent conductivity measurements were performed by securing two gold wires (15 </w:t>
      </w:r>
      <w:r w:rsidRPr="00096AE8">
        <w:rPr>
          <w:rFonts w:eastAsia="宋体"/>
        </w:rPr>
        <w:t>μ</w:t>
      </w:r>
      <w:r w:rsidRPr="00096AE8">
        <w:t xml:space="preserve">m diameter) to each side of a piece of a rectangular shaped crystalline film obtained from electrocrystallization. This film piece was estimated to be composed of 4-5 domains of single crystals by X-ray diffraction and, as such, is better than a pressed pellet for ascertaining the intrinsic conductivity properties. </w:t>
      </w:r>
      <w:r w:rsidR="00E53891" w:rsidRPr="00096AE8">
        <w:rPr>
          <w:lang w:val="en-US"/>
        </w:rPr>
        <w:t xml:space="preserve">The size and thickness of film was measured by the length marks attached to the ocular glass of the microscope. </w:t>
      </w:r>
      <w:r w:rsidRPr="00096AE8">
        <w:t xml:space="preserve">A </w:t>
      </w:r>
      <w:r w:rsidRPr="00096AE8">
        <w:rPr>
          <w:rFonts w:eastAsia="宋体"/>
        </w:rPr>
        <w:t>Quantum Design model MPMS SQUID magnetometer</w:t>
      </w:r>
      <w:r w:rsidRPr="00096AE8">
        <w:t xml:space="preserve"> equipped with a voltammeter and a current source was used to collect the voltage changes with temperature</w:t>
      </w:r>
      <w:r w:rsidRPr="00096AE8">
        <w:rPr>
          <w:rFonts w:eastAsia="宋体"/>
        </w:rPr>
        <w:t>.</w:t>
      </w:r>
      <w:r w:rsidRPr="00096AE8">
        <w:t xml:space="preserve"> A square-wave current of 1.0 </w:t>
      </w:r>
      <w:r w:rsidRPr="00096AE8">
        <w:rPr>
          <w:rFonts w:eastAsia="宋体"/>
        </w:rPr>
        <w:t>μA was applied for the measurement to avoid the non-linear current response and thermal resistance from the contact between the gold wire and film</w:t>
      </w:r>
      <w:r w:rsidR="00E53891" w:rsidRPr="00096AE8">
        <w:rPr>
          <w:rFonts w:eastAsia="宋体"/>
        </w:rPr>
        <w:t>, a set of 6 data points were collected at certain temperature, and the average value of conductivity and temperature was taken to represent the behavior</w:t>
      </w:r>
      <w:r w:rsidRPr="00096AE8">
        <w:rPr>
          <w:rFonts w:eastAsia="宋体"/>
        </w:rPr>
        <w:t>. The direction of applied current is along the longest direction of the film the ensure that the major contribution of conductivity emanates from the stacks of TCNQ radicals.</w:t>
      </w:r>
    </w:p>
    <w:p w:rsidR="00B96328" w:rsidRPr="00096AE8" w:rsidRDefault="00B96328" w:rsidP="00B96328">
      <w:pPr>
        <w:ind w:rightChars="-27" w:right="-65"/>
        <w:jc w:val="both"/>
        <w:rPr>
          <w:rFonts w:eastAsia="宋体"/>
        </w:rPr>
      </w:pPr>
    </w:p>
    <w:p w:rsidR="00B96328" w:rsidRDefault="00B96328" w:rsidP="00B96328">
      <w:pPr>
        <w:jc w:val="both"/>
        <w:rPr>
          <w:rFonts w:eastAsia="宋体"/>
        </w:rPr>
      </w:pPr>
      <w:r w:rsidRPr="00096AE8">
        <w:rPr>
          <w:rFonts w:eastAsia="宋体"/>
          <w:i/>
        </w:rPr>
        <w:t>EPR measurements</w:t>
      </w:r>
      <w:r w:rsidRPr="00096AE8">
        <w:rPr>
          <w:rFonts w:eastAsia="宋体"/>
        </w:rPr>
        <w:t xml:space="preserve">: EPR data were obtained on a JOEL JES-FA200 X-band EPR instrument. A pressed powder pellet of </w:t>
      </w:r>
      <w:r w:rsidRPr="00096AE8">
        <w:rPr>
          <w:rFonts w:eastAsia="宋体"/>
          <w:b/>
        </w:rPr>
        <w:t>1</w:t>
      </w:r>
      <w:r w:rsidRPr="00096AE8">
        <w:rPr>
          <w:rFonts w:eastAsia="宋体"/>
        </w:rPr>
        <w:t xml:space="preserve"> was used to avoid complications caused by by the twinning of the crystals. The pellet was placed parallel to the direction of the magnetic field</w:t>
      </w:r>
      <w:r w:rsidRPr="00096AE8">
        <w:rPr>
          <w:rFonts w:eastAsia="方正姚体"/>
        </w:rPr>
        <w:t xml:space="preserve"> </w:t>
      </w:r>
      <w:r w:rsidRPr="00096AE8">
        <w:rPr>
          <w:rFonts w:eastAsia="宋体"/>
        </w:rPr>
        <w:t>and a DC current source was used. A 30 second measurement interval was adopted to avoid heating effects with the application of current.</w:t>
      </w:r>
      <w:r w:rsidR="00E53891" w:rsidRPr="00096AE8">
        <w:rPr>
          <w:rFonts w:eastAsia="宋体"/>
        </w:rPr>
        <w:t xml:space="preserve"> Given </w:t>
      </w:r>
      <w:proofErr w:type="spellStart"/>
      <w:r w:rsidR="00FD177C">
        <w:rPr>
          <w:rFonts w:eastAsia="宋体"/>
        </w:rPr>
        <w:t>that</w:t>
      </w:r>
      <w:proofErr w:type="spellEnd"/>
      <w:r w:rsidR="00FD177C">
        <w:rPr>
          <w:rFonts w:eastAsia="宋体"/>
        </w:rPr>
        <w:t xml:space="preserve"> </w:t>
      </w:r>
      <w:proofErr w:type="spellStart"/>
      <w:r w:rsidR="00E53891" w:rsidRPr="00096AE8">
        <w:rPr>
          <w:rFonts w:eastAsia="宋体"/>
        </w:rPr>
        <w:t>the</w:t>
      </w:r>
      <w:proofErr w:type="spellEnd"/>
      <w:r w:rsidR="00E53891" w:rsidRPr="00096AE8">
        <w:rPr>
          <w:rFonts w:eastAsia="宋体"/>
        </w:rPr>
        <w:t xml:space="preserve"> final </w:t>
      </w:r>
      <w:proofErr w:type="spellStart"/>
      <w:r w:rsidR="00E53891" w:rsidRPr="00096AE8">
        <w:rPr>
          <w:rFonts w:eastAsia="宋体"/>
        </w:rPr>
        <w:t>result</w:t>
      </w:r>
      <w:proofErr w:type="spellEnd"/>
      <w:r w:rsidR="00E53891" w:rsidRPr="00096AE8">
        <w:rPr>
          <w:rFonts w:eastAsia="宋体"/>
        </w:rPr>
        <w:t xml:space="preserve"> </w:t>
      </w:r>
      <w:proofErr w:type="spellStart"/>
      <w:r w:rsidR="00E53891" w:rsidRPr="00096AE8">
        <w:rPr>
          <w:rFonts w:eastAsia="宋体"/>
        </w:rPr>
        <w:t>suggested</w:t>
      </w:r>
      <w:proofErr w:type="spellEnd"/>
      <w:r w:rsidR="00E53891" w:rsidRPr="00096AE8">
        <w:rPr>
          <w:rFonts w:eastAsia="宋体"/>
        </w:rPr>
        <w:t xml:space="preserve"> </w:t>
      </w:r>
      <w:proofErr w:type="spellStart"/>
      <w:r w:rsidR="00E53891" w:rsidRPr="00096AE8">
        <w:rPr>
          <w:rFonts w:eastAsia="宋体"/>
        </w:rPr>
        <w:t>that</w:t>
      </w:r>
      <w:proofErr w:type="spellEnd"/>
      <w:r w:rsidR="00E53891" w:rsidRPr="00096AE8">
        <w:rPr>
          <w:rFonts w:eastAsia="宋体"/>
        </w:rPr>
        <w:t xml:space="preserve"> the biggest g-value shift occured with the applied current of only 1nA, and rapidly decreased with the increasing</w:t>
      </w:r>
      <w:r w:rsidR="00FD177C">
        <w:rPr>
          <w:rFonts w:eastAsia="宋体"/>
        </w:rPr>
        <w:t xml:space="preserve"> of applied current, </w:t>
      </w:r>
      <w:proofErr w:type="spellStart"/>
      <w:r w:rsidR="00FD177C">
        <w:rPr>
          <w:rFonts w:eastAsia="宋体"/>
        </w:rPr>
        <w:t>apparently</w:t>
      </w:r>
      <w:proofErr w:type="spellEnd"/>
      <w:r w:rsidR="00FD177C">
        <w:rPr>
          <w:rFonts w:eastAsia="宋体"/>
        </w:rPr>
        <w:t xml:space="preserve"> </w:t>
      </w:r>
      <w:proofErr w:type="spellStart"/>
      <w:r w:rsidR="00E53891" w:rsidRPr="00096AE8">
        <w:rPr>
          <w:rFonts w:eastAsia="宋体"/>
        </w:rPr>
        <w:t>current-induced</w:t>
      </w:r>
      <w:proofErr w:type="spellEnd"/>
      <w:r w:rsidR="00E53891" w:rsidRPr="00096AE8">
        <w:rPr>
          <w:rFonts w:eastAsia="宋体"/>
        </w:rPr>
        <w:t xml:space="preserve"> </w:t>
      </w:r>
      <w:proofErr w:type="spellStart"/>
      <w:r w:rsidR="00E53891" w:rsidRPr="00096AE8">
        <w:rPr>
          <w:rFonts w:eastAsia="宋体"/>
        </w:rPr>
        <w:t>heat</w:t>
      </w:r>
      <w:proofErr w:type="spellEnd"/>
      <w:r w:rsidR="00E53891" w:rsidRPr="00096AE8">
        <w:rPr>
          <w:rFonts w:eastAsia="宋体"/>
        </w:rPr>
        <w:t xml:space="preserve"> </w:t>
      </w:r>
      <w:proofErr w:type="spellStart"/>
      <w:r w:rsidR="00E53891" w:rsidRPr="00096AE8">
        <w:rPr>
          <w:rFonts w:eastAsia="宋体"/>
        </w:rPr>
        <w:t>is</w:t>
      </w:r>
      <w:proofErr w:type="spellEnd"/>
      <w:r w:rsidR="00E53891" w:rsidRPr="00096AE8">
        <w:rPr>
          <w:rFonts w:eastAsia="宋体"/>
        </w:rPr>
        <w:t xml:space="preserve"> </w:t>
      </w:r>
      <w:proofErr w:type="spellStart"/>
      <w:r w:rsidR="00E53891" w:rsidRPr="00096AE8">
        <w:rPr>
          <w:rFonts w:eastAsia="宋体"/>
        </w:rPr>
        <w:t>not</w:t>
      </w:r>
      <w:proofErr w:type="spellEnd"/>
      <w:r w:rsidR="00E53891" w:rsidRPr="00096AE8">
        <w:rPr>
          <w:rFonts w:eastAsia="宋体"/>
        </w:rPr>
        <w:t xml:space="preserve"> </w:t>
      </w:r>
      <w:proofErr w:type="spellStart"/>
      <w:r w:rsidR="00E53891" w:rsidRPr="00096AE8">
        <w:rPr>
          <w:rFonts w:eastAsia="宋体"/>
        </w:rPr>
        <w:t>the</w:t>
      </w:r>
      <w:proofErr w:type="spellEnd"/>
      <w:r w:rsidR="00E53891" w:rsidRPr="00096AE8">
        <w:rPr>
          <w:rFonts w:eastAsia="宋体"/>
        </w:rPr>
        <w:t xml:space="preserve"> major factor and therefore is ignored. Current-induced field was also neglected as there was no report of significant magnetoresistance behavior for any metal-TCNQ material.</w:t>
      </w:r>
    </w:p>
    <w:p w:rsidR="00B96328" w:rsidRDefault="00B96328" w:rsidP="00B96328">
      <w:pPr>
        <w:rPr>
          <w:rFonts w:eastAsia="宋体"/>
        </w:rPr>
      </w:pPr>
    </w:p>
    <w:p w:rsidR="00B96328" w:rsidRPr="00882EDD" w:rsidRDefault="00B96328" w:rsidP="00B96328">
      <w:pPr>
        <w:rPr>
          <w:b/>
          <w:lang w:val="pl-PL"/>
        </w:rPr>
      </w:pPr>
      <w:r w:rsidRPr="00882EDD">
        <w:rPr>
          <w:b/>
          <w:lang w:val="pl-PL"/>
        </w:rPr>
        <w:t>Reference</w:t>
      </w:r>
      <w:r w:rsidRPr="00882EDD">
        <w:rPr>
          <w:b/>
        </w:rPr>
        <w:t>s</w:t>
      </w:r>
      <w:r w:rsidRPr="00882EDD">
        <w:rPr>
          <w:b/>
          <w:lang w:val="pl-PL"/>
        </w:rPr>
        <w:t xml:space="preserve">: </w:t>
      </w:r>
    </w:p>
    <w:p w:rsidR="00B96328" w:rsidRPr="00882EDD" w:rsidRDefault="00B96328" w:rsidP="00B96328">
      <w:pPr>
        <w:rPr>
          <w:lang w:val="pl-PL"/>
        </w:rPr>
      </w:pPr>
      <w:r>
        <w:rPr>
          <w:lang w:val="pl-PL"/>
        </w:rPr>
        <w:t xml:space="preserve">S1 </w:t>
      </w:r>
      <w:r w:rsidRPr="00882EDD">
        <w:rPr>
          <w:lang w:val="pl-PL"/>
        </w:rPr>
        <w:t xml:space="preserve"> T.</w:t>
      </w:r>
      <w:r w:rsidRPr="00B96328">
        <w:rPr>
          <w:lang w:val="pl-PL"/>
        </w:rPr>
        <w:t xml:space="preserve"> </w:t>
      </w:r>
      <w:r w:rsidRPr="00882EDD">
        <w:rPr>
          <w:lang w:val="pl-PL"/>
        </w:rPr>
        <w:t xml:space="preserve">Mori, T. Kawamoto, </w:t>
      </w:r>
      <w:r w:rsidRPr="00882EDD">
        <w:rPr>
          <w:i/>
        </w:rPr>
        <w:t>Annu. Rep. Prog. Chem., Sect. C,</w:t>
      </w:r>
      <w:r w:rsidRPr="00882EDD">
        <w:t xml:space="preserve"> </w:t>
      </w:r>
      <w:r w:rsidRPr="00882EDD">
        <w:rPr>
          <w:b/>
        </w:rPr>
        <w:t>2007</w:t>
      </w:r>
      <w:r w:rsidRPr="00882EDD">
        <w:t xml:space="preserve">, </w:t>
      </w:r>
      <w:r w:rsidRPr="00882EDD">
        <w:rPr>
          <w:i/>
        </w:rPr>
        <w:t>103</w:t>
      </w:r>
      <w:r w:rsidRPr="00882EDD">
        <w:t>, 134–172.</w:t>
      </w:r>
    </w:p>
    <w:p w:rsidR="00B96328" w:rsidRDefault="00B96328" w:rsidP="00B96328">
      <w:pPr>
        <w:rPr>
          <w:rStyle w:val="apple-style-span"/>
        </w:rPr>
      </w:pPr>
      <w:r w:rsidRPr="00882EDD">
        <w:rPr>
          <w:lang w:val="pl-PL"/>
        </w:rPr>
        <w:t>S2</w:t>
      </w:r>
      <w:r>
        <w:rPr>
          <w:lang w:val="pl-PL"/>
        </w:rPr>
        <w:t xml:space="preserve">  </w:t>
      </w:r>
      <w:r w:rsidRPr="00882EDD">
        <w:rPr>
          <w:rStyle w:val="apple-style-span"/>
          <w:shd w:val="clear" w:color="auto" w:fill="FFFFFF"/>
        </w:rPr>
        <w:t>Z.</w:t>
      </w:r>
      <w:r w:rsidRPr="00882EDD">
        <w:rPr>
          <w:lang w:val="pl-PL"/>
        </w:rPr>
        <w:t xml:space="preserve"> </w:t>
      </w:r>
      <w:r w:rsidRPr="00882EDD">
        <w:rPr>
          <w:rStyle w:val="apple-style-span"/>
          <w:shd w:val="clear" w:color="auto" w:fill="FFFFFF"/>
        </w:rPr>
        <w:t>Gu, H.</w:t>
      </w:r>
      <w:r w:rsidRPr="00B96328">
        <w:rPr>
          <w:rStyle w:val="apple-style-span"/>
          <w:shd w:val="clear" w:color="auto" w:fill="FFFFFF"/>
        </w:rPr>
        <w:t xml:space="preserve"> </w:t>
      </w:r>
      <w:r w:rsidRPr="00882EDD">
        <w:rPr>
          <w:rStyle w:val="apple-style-span"/>
          <w:shd w:val="clear" w:color="auto" w:fill="FFFFFF"/>
        </w:rPr>
        <w:t>Wu, Y.</w:t>
      </w:r>
      <w:r w:rsidRPr="00B96328">
        <w:rPr>
          <w:rStyle w:val="apple-style-span"/>
          <w:shd w:val="clear" w:color="auto" w:fill="FFFFFF"/>
        </w:rPr>
        <w:t xml:space="preserve"> </w:t>
      </w:r>
      <w:r w:rsidRPr="00882EDD">
        <w:rPr>
          <w:rStyle w:val="apple-style-span"/>
          <w:shd w:val="clear" w:color="auto" w:fill="FFFFFF"/>
        </w:rPr>
        <w:t>Wei</w:t>
      </w:r>
      <w:r>
        <w:rPr>
          <w:rStyle w:val="apple-style-span"/>
          <w:shd w:val="clear" w:color="auto" w:fill="FFFFFF"/>
        </w:rPr>
        <w:t xml:space="preserve"> and</w:t>
      </w:r>
      <w:r w:rsidRPr="00882EDD">
        <w:rPr>
          <w:rStyle w:val="apple-style-span"/>
          <w:shd w:val="clear" w:color="auto" w:fill="FFFFFF"/>
        </w:rPr>
        <w:t xml:space="preserve"> J.</w:t>
      </w:r>
      <w:r w:rsidRPr="00B96328">
        <w:rPr>
          <w:rStyle w:val="apple-style-span"/>
          <w:shd w:val="clear" w:color="auto" w:fill="FFFFFF"/>
        </w:rPr>
        <w:t xml:space="preserve"> </w:t>
      </w:r>
      <w:r w:rsidRPr="00882EDD">
        <w:rPr>
          <w:rStyle w:val="apple-style-span"/>
          <w:shd w:val="clear" w:color="auto" w:fill="FFFFFF"/>
        </w:rPr>
        <w:t xml:space="preserve">Liu, </w:t>
      </w:r>
      <w:r w:rsidRPr="00882EDD">
        <w:rPr>
          <w:rStyle w:val="apple-style-span"/>
          <w:i/>
          <w:shd w:val="clear" w:color="auto" w:fill="FFFFFF"/>
        </w:rPr>
        <w:t xml:space="preserve">J. Phys. Chem. </w:t>
      </w:r>
      <w:r w:rsidRPr="00882EDD">
        <w:rPr>
          <w:rStyle w:val="apple-style-span"/>
          <w:b/>
          <w:shd w:val="clear" w:color="auto" w:fill="FFFFFF"/>
        </w:rPr>
        <w:t>1993</w:t>
      </w:r>
      <w:r w:rsidRPr="00882EDD">
        <w:rPr>
          <w:rStyle w:val="apple-style-span"/>
          <w:shd w:val="clear" w:color="auto" w:fill="FFFFFF"/>
        </w:rPr>
        <w:t xml:space="preserve">, </w:t>
      </w:r>
      <w:r w:rsidRPr="00882EDD">
        <w:rPr>
          <w:rStyle w:val="apple-style-span"/>
          <w:i/>
          <w:shd w:val="clear" w:color="auto" w:fill="FFFFFF"/>
        </w:rPr>
        <w:t>97</w:t>
      </w:r>
      <w:r w:rsidRPr="00882EDD">
        <w:rPr>
          <w:rStyle w:val="apple-style-span"/>
          <w:shd w:val="clear" w:color="auto" w:fill="FFFFFF"/>
        </w:rPr>
        <w:t>, 2543-2545.</w:t>
      </w:r>
    </w:p>
    <w:p w:rsidR="00B96328" w:rsidRDefault="00B96328" w:rsidP="00B96328">
      <w:pPr>
        <w:rPr>
          <w:color w:val="231F20"/>
        </w:rPr>
      </w:pPr>
      <w:r>
        <w:rPr>
          <w:rStyle w:val="apple-style-span"/>
          <w:shd w:val="clear" w:color="auto" w:fill="FFFFFF"/>
        </w:rPr>
        <w:t xml:space="preserve">S3  </w:t>
      </w:r>
      <w:r w:rsidRPr="00B96328">
        <w:rPr>
          <w:color w:val="231F20"/>
        </w:rPr>
        <w:t>H. Ikegami, C. Chong, H. Yamochi</w:t>
      </w:r>
      <w:r>
        <w:rPr>
          <w:color w:val="231F20"/>
        </w:rPr>
        <w:t xml:space="preserve"> and</w:t>
      </w:r>
      <w:r w:rsidRPr="00B96328">
        <w:rPr>
          <w:color w:val="231F20"/>
        </w:rPr>
        <w:t xml:space="preserve"> G. Saito, </w:t>
      </w:r>
      <w:r w:rsidRPr="00B96328">
        <w:rPr>
          <w:i/>
          <w:color w:val="231F20"/>
        </w:rPr>
        <w:t>Mol. Cryst. Liq. Cryst.</w:t>
      </w:r>
      <w:r w:rsidRPr="00B96328">
        <w:rPr>
          <w:color w:val="231F20"/>
        </w:rPr>
        <w:t xml:space="preserve"> </w:t>
      </w:r>
      <w:r w:rsidRPr="00B96328">
        <w:rPr>
          <w:b/>
          <w:color w:val="231F20"/>
        </w:rPr>
        <w:t>2002</w:t>
      </w:r>
      <w:r w:rsidRPr="00B96328">
        <w:rPr>
          <w:color w:val="231F20"/>
        </w:rPr>
        <w:t xml:space="preserve">, </w:t>
      </w:r>
      <w:r w:rsidRPr="00B96328">
        <w:rPr>
          <w:i/>
          <w:color w:val="231F20"/>
        </w:rPr>
        <w:t>382</w:t>
      </w:r>
      <w:r w:rsidRPr="00B96328">
        <w:rPr>
          <w:color w:val="231F20"/>
        </w:rPr>
        <w:t>, 21-35.</w:t>
      </w:r>
    </w:p>
    <w:p w:rsidR="00B96328" w:rsidRDefault="00B96328" w:rsidP="00B96328">
      <w:pPr>
        <w:rPr>
          <w:rStyle w:val="apple-style-span"/>
        </w:rPr>
      </w:pPr>
      <w:r>
        <w:rPr>
          <w:color w:val="231F20"/>
        </w:rPr>
        <w:t xml:space="preserve">S4  </w:t>
      </w:r>
      <w:r w:rsidRPr="00B96328">
        <w:t>G.M.Sheldrick,</w:t>
      </w:r>
      <w:r w:rsidRPr="00B96328">
        <w:rPr>
          <w:rStyle w:val="apple-converted-space"/>
        </w:rPr>
        <w:t> </w:t>
      </w:r>
      <w:r w:rsidRPr="00B96328">
        <w:rPr>
          <w:i/>
          <w:iCs/>
        </w:rPr>
        <w:t>Acta Cryst</w:t>
      </w:r>
      <w:r w:rsidRPr="00B96328">
        <w:t>.</w:t>
      </w:r>
      <w:r w:rsidRPr="00B96328">
        <w:rPr>
          <w:rStyle w:val="apple-converted-space"/>
        </w:rPr>
        <w:t>, 2008</w:t>
      </w:r>
      <w:r w:rsidRPr="00B96328">
        <w:t xml:space="preserve">, </w:t>
      </w:r>
      <w:r w:rsidRPr="00B96328">
        <w:rPr>
          <w:b/>
        </w:rPr>
        <w:t>A64</w:t>
      </w:r>
      <w:r w:rsidRPr="00B96328">
        <w:t>, 112-122.</w:t>
      </w:r>
    </w:p>
    <w:sectPr w:rsidR="00B96328" w:rsidSect="00871E5D">
      <w:pgSz w:w="11906" w:h="16838"/>
      <w:pgMar w:top="1440" w:right="1800" w:bottom="1440" w:left="1800" w:gutter="0"/>
      <w:docGrid w:type="lines" w:linePitch="31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CC8" w:rsidRDefault="00B44CC8" w:rsidP="006C05DE">
      <w:r>
        <w:separator/>
      </w:r>
    </w:p>
  </w:endnote>
  <w:endnote w:type="continuationSeparator" w:id="0">
    <w:p w:rsidR="00B44CC8" w:rsidRDefault="00B44CC8" w:rsidP="006C05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Times New Roman">
    <w:panose1 w:val="020206030504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dvTTR">
    <w:altName w:val="宋体"/>
    <w:panose1 w:val="00000000000000000000"/>
    <w:charset w:val="86"/>
    <w:family w:val="auto"/>
    <w:notTrueType/>
    <w:pitch w:val="default"/>
    <w:sig w:usb0="00000001" w:usb1="080E0000" w:usb2="00000010" w:usb3="00000000" w:csb0="00040000" w:csb1="00000000"/>
  </w:font>
  <w:font w:name="方正姚体">
    <w:altName w:val="Hiragino Sans GB W6"/>
    <w:charset w:val="86"/>
    <w:family w:val="auto"/>
    <w:pitch w:val="variable"/>
    <w:sig w:usb0="00000003"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CC8" w:rsidRDefault="00B44CC8" w:rsidP="006C05DE">
      <w:r>
        <w:separator/>
      </w:r>
    </w:p>
  </w:footnote>
  <w:footnote w:type="continuationSeparator" w:id="0">
    <w:p w:rsidR="00B44CC8" w:rsidRDefault="00B44CC8" w:rsidP="006C05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05DE"/>
    <w:rsid w:val="00002A01"/>
    <w:rsid w:val="00004772"/>
    <w:rsid w:val="00010236"/>
    <w:rsid w:val="00011510"/>
    <w:rsid w:val="00014B92"/>
    <w:rsid w:val="00017231"/>
    <w:rsid w:val="00017749"/>
    <w:rsid w:val="0002466E"/>
    <w:rsid w:val="00025A58"/>
    <w:rsid w:val="0003282B"/>
    <w:rsid w:val="000408B8"/>
    <w:rsid w:val="00040D2E"/>
    <w:rsid w:val="000427C1"/>
    <w:rsid w:val="000449D5"/>
    <w:rsid w:val="000470D9"/>
    <w:rsid w:val="0005147E"/>
    <w:rsid w:val="00051E47"/>
    <w:rsid w:val="00052161"/>
    <w:rsid w:val="00057DBE"/>
    <w:rsid w:val="000607D5"/>
    <w:rsid w:val="0006454B"/>
    <w:rsid w:val="000718E3"/>
    <w:rsid w:val="0007437D"/>
    <w:rsid w:val="00075044"/>
    <w:rsid w:val="00075E39"/>
    <w:rsid w:val="000774E0"/>
    <w:rsid w:val="00083BB8"/>
    <w:rsid w:val="00085A22"/>
    <w:rsid w:val="000912BB"/>
    <w:rsid w:val="00091F2F"/>
    <w:rsid w:val="00093B6B"/>
    <w:rsid w:val="00096AE8"/>
    <w:rsid w:val="00096D18"/>
    <w:rsid w:val="000A17A8"/>
    <w:rsid w:val="000A2EAC"/>
    <w:rsid w:val="000A6C84"/>
    <w:rsid w:val="000B1267"/>
    <w:rsid w:val="000B212E"/>
    <w:rsid w:val="000B2B76"/>
    <w:rsid w:val="000C062E"/>
    <w:rsid w:val="000C0AF4"/>
    <w:rsid w:val="000C115C"/>
    <w:rsid w:val="000C4CE2"/>
    <w:rsid w:val="000C6208"/>
    <w:rsid w:val="000D7AA3"/>
    <w:rsid w:val="000E1B36"/>
    <w:rsid w:val="000E29CC"/>
    <w:rsid w:val="000E3DD1"/>
    <w:rsid w:val="000E4EE6"/>
    <w:rsid w:val="000E6748"/>
    <w:rsid w:val="000E7C8D"/>
    <w:rsid w:val="000F229B"/>
    <w:rsid w:val="000F539A"/>
    <w:rsid w:val="000F7021"/>
    <w:rsid w:val="00103EC0"/>
    <w:rsid w:val="0010484A"/>
    <w:rsid w:val="00115234"/>
    <w:rsid w:val="00116B66"/>
    <w:rsid w:val="00116D10"/>
    <w:rsid w:val="00120E04"/>
    <w:rsid w:val="001253E2"/>
    <w:rsid w:val="001343E6"/>
    <w:rsid w:val="0013703A"/>
    <w:rsid w:val="0014013A"/>
    <w:rsid w:val="00140362"/>
    <w:rsid w:val="00143CEF"/>
    <w:rsid w:val="00144900"/>
    <w:rsid w:val="00147577"/>
    <w:rsid w:val="00147B5A"/>
    <w:rsid w:val="001518CB"/>
    <w:rsid w:val="001524C2"/>
    <w:rsid w:val="00153DA0"/>
    <w:rsid w:val="00161069"/>
    <w:rsid w:val="001676FA"/>
    <w:rsid w:val="001716E7"/>
    <w:rsid w:val="00177D23"/>
    <w:rsid w:val="001818B0"/>
    <w:rsid w:val="0018498A"/>
    <w:rsid w:val="001935DB"/>
    <w:rsid w:val="001952C7"/>
    <w:rsid w:val="001A586A"/>
    <w:rsid w:val="001A5D18"/>
    <w:rsid w:val="001A5EF5"/>
    <w:rsid w:val="001A5F5A"/>
    <w:rsid w:val="001A7B89"/>
    <w:rsid w:val="001B1616"/>
    <w:rsid w:val="001B1A24"/>
    <w:rsid w:val="001B2781"/>
    <w:rsid w:val="001B4E7C"/>
    <w:rsid w:val="001B788C"/>
    <w:rsid w:val="001C2572"/>
    <w:rsid w:val="001C4346"/>
    <w:rsid w:val="001C7794"/>
    <w:rsid w:val="001D5148"/>
    <w:rsid w:val="001E2465"/>
    <w:rsid w:val="001E5C35"/>
    <w:rsid w:val="001E69C7"/>
    <w:rsid w:val="001F119E"/>
    <w:rsid w:val="001F6283"/>
    <w:rsid w:val="001F7132"/>
    <w:rsid w:val="001F72BC"/>
    <w:rsid w:val="001F7307"/>
    <w:rsid w:val="00206BF1"/>
    <w:rsid w:val="00214A75"/>
    <w:rsid w:val="00216806"/>
    <w:rsid w:val="00216919"/>
    <w:rsid w:val="00217E74"/>
    <w:rsid w:val="00220D6A"/>
    <w:rsid w:val="00231549"/>
    <w:rsid w:val="00231F10"/>
    <w:rsid w:val="002413F6"/>
    <w:rsid w:val="00241790"/>
    <w:rsid w:val="002512E4"/>
    <w:rsid w:val="002540FA"/>
    <w:rsid w:val="00255BDF"/>
    <w:rsid w:val="00267DA7"/>
    <w:rsid w:val="0027554B"/>
    <w:rsid w:val="0028009F"/>
    <w:rsid w:val="002829FF"/>
    <w:rsid w:val="00290324"/>
    <w:rsid w:val="002938D8"/>
    <w:rsid w:val="002961C0"/>
    <w:rsid w:val="002964F5"/>
    <w:rsid w:val="00296B1B"/>
    <w:rsid w:val="002A4C97"/>
    <w:rsid w:val="002B41A2"/>
    <w:rsid w:val="002B44CB"/>
    <w:rsid w:val="002C0F24"/>
    <w:rsid w:val="002D0DE8"/>
    <w:rsid w:val="002D7133"/>
    <w:rsid w:val="002E0BDB"/>
    <w:rsid w:val="002E1421"/>
    <w:rsid w:val="002E31AC"/>
    <w:rsid w:val="002E36BC"/>
    <w:rsid w:val="002E482D"/>
    <w:rsid w:val="002F1A99"/>
    <w:rsid w:val="002F1CBB"/>
    <w:rsid w:val="002F5349"/>
    <w:rsid w:val="002F7A2E"/>
    <w:rsid w:val="003009B8"/>
    <w:rsid w:val="003036D8"/>
    <w:rsid w:val="00306392"/>
    <w:rsid w:val="00306941"/>
    <w:rsid w:val="003312E7"/>
    <w:rsid w:val="00331437"/>
    <w:rsid w:val="003446FA"/>
    <w:rsid w:val="003700FC"/>
    <w:rsid w:val="00376912"/>
    <w:rsid w:val="00377790"/>
    <w:rsid w:val="00380FDE"/>
    <w:rsid w:val="00387995"/>
    <w:rsid w:val="00395362"/>
    <w:rsid w:val="00396C19"/>
    <w:rsid w:val="003A2E4D"/>
    <w:rsid w:val="003A3281"/>
    <w:rsid w:val="003A765D"/>
    <w:rsid w:val="003B1F99"/>
    <w:rsid w:val="003B2136"/>
    <w:rsid w:val="003B2D9F"/>
    <w:rsid w:val="003B3315"/>
    <w:rsid w:val="003B3987"/>
    <w:rsid w:val="003B674A"/>
    <w:rsid w:val="003B694A"/>
    <w:rsid w:val="003C084C"/>
    <w:rsid w:val="003C272B"/>
    <w:rsid w:val="003C6BF5"/>
    <w:rsid w:val="003C6D32"/>
    <w:rsid w:val="003C716D"/>
    <w:rsid w:val="003D035C"/>
    <w:rsid w:val="003D08D2"/>
    <w:rsid w:val="003D2095"/>
    <w:rsid w:val="003D40B4"/>
    <w:rsid w:val="003D4641"/>
    <w:rsid w:val="003D677E"/>
    <w:rsid w:val="003E20AE"/>
    <w:rsid w:val="003E6654"/>
    <w:rsid w:val="003E6C62"/>
    <w:rsid w:val="003F0964"/>
    <w:rsid w:val="003F1EA4"/>
    <w:rsid w:val="003F4282"/>
    <w:rsid w:val="003F5B7E"/>
    <w:rsid w:val="00400144"/>
    <w:rsid w:val="00401DDB"/>
    <w:rsid w:val="00403193"/>
    <w:rsid w:val="0041011B"/>
    <w:rsid w:val="0041147C"/>
    <w:rsid w:val="004161F8"/>
    <w:rsid w:val="00417DE0"/>
    <w:rsid w:val="0044147E"/>
    <w:rsid w:val="00441EBD"/>
    <w:rsid w:val="00443373"/>
    <w:rsid w:val="0044510F"/>
    <w:rsid w:val="00445138"/>
    <w:rsid w:val="00450390"/>
    <w:rsid w:val="00452035"/>
    <w:rsid w:val="00452E9B"/>
    <w:rsid w:val="00466E1F"/>
    <w:rsid w:val="0046707A"/>
    <w:rsid w:val="004703B1"/>
    <w:rsid w:val="00471342"/>
    <w:rsid w:val="004747B7"/>
    <w:rsid w:val="00476511"/>
    <w:rsid w:val="00476CE1"/>
    <w:rsid w:val="00484642"/>
    <w:rsid w:val="004856E0"/>
    <w:rsid w:val="00485C49"/>
    <w:rsid w:val="004935E8"/>
    <w:rsid w:val="00495D23"/>
    <w:rsid w:val="004A01E8"/>
    <w:rsid w:val="004A0573"/>
    <w:rsid w:val="004A06D7"/>
    <w:rsid w:val="004A11A7"/>
    <w:rsid w:val="004A6DD9"/>
    <w:rsid w:val="004C35F7"/>
    <w:rsid w:val="004C3FD9"/>
    <w:rsid w:val="004C580F"/>
    <w:rsid w:val="004D0CF9"/>
    <w:rsid w:val="004E0D98"/>
    <w:rsid w:val="004E291E"/>
    <w:rsid w:val="004F208C"/>
    <w:rsid w:val="004F54ED"/>
    <w:rsid w:val="004F6A90"/>
    <w:rsid w:val="004F7296"/>
    <w:rsid w:val="005057CE"/>
    <w:rsid w:val="00510ACF"/>
    <w:rsid w:val="005202A6"/>
    <w:rsid w:val="00523FAD"/>
    <w:rsid w:val="00525F4F"/>
    <w:rsid w:val="00534176"/>
    <w:rsid w:val="005476E7"/>
    <w:rsid w:val="00550243"/>
    <w:rsid w:val="00554891"/>
    <w:rsid w:val="0055492E"/>
    <w:rsid w:val="0055538C"/>
    <w:rsid w:val="00556615"/>
    <w:rsid w:val="00565232"/>
    <w:rsid w:val="00574A03"/>
    <w:rsid w:val="0058313B"/>
    <w:rsid w:val="00584847"/>
    <w:rsid w:val="00586516"/>
    <w:rsid w:val="005907FF"/>
    <w:rsid w:val="0059107F"/>
    <w:rsid w:val="005A00FE"/>
    <w:rsid w:val="005A3297"/>
    <w:rsid w:val="005A4783"/>
    <w:rsid w:val="005A4EBE"/>
    <w:rsid w:val="005A6942"/>
    <w:rsid w:val="005A726C"/>
    <w:rsid w:val="005B1287"/>
    <w:rsid w:val="005C0B05"/>
    <w:rsid w:val="005C6B52"/>
    <w:rsid w:val="005D2775"/>
    <w:rsid w:val="005D3316"/>
    <w:rsid w:val="005D5643"/>
    <w:rsid w:val="005D74C8"/>
    <w:rsid w:val="005D7815"/>
    <w:rsid w:val="005E00E5"/>
    <w:rsid w:val="005E1E63"/>
    <w:rsid w:val="005E2D25"/>
    <w:rsid w:val="005E375F"/>
    <w:rsid w:val="005E7816"/>
    <w:rsid w:val="005F3A87"/>
    <w:rsid w:val="005F453F"/>
    <w:rsid w:val="005F595B"/>
    <w:rsid w:val="005F5C57"/>
    <w:rsid w:val="0060059E"/>
    <w:rsid w:val="00610C56"/>
    <w:rsid w:val="00611921"/>
    <w:rsid w:val="00615A7D"/>
    <w:rsid w:val="00615DAA"/>
    <w:rsid w:val="00616202"/>
    <w:rsid w:val="00621851"/>
    <w:rsid w:val="00622182"/>
    <w:rsid w:val="00627F6C"/>
    <w:rsid w:val="00632096"/>
    <w:rsid w:val="00632FA5"/>
    <w:rsid w:val="00635935"/>
    <w:rsid w:val="0064174D"/>
    <w:rsid w:val="006444F7"/>
    <w:rsid w:val="00647592"/>
    <w:rsid w:val="00651CBE"/>
    <w:rsid w:val="00652048"/>
    <w:rsid w:val="00652E28"/>
    <w:rsid w:val="00653188"/>
    <w:rsid w:val="006561CE"/>
    <w:rsid w:val="00657A38"/>
    <w:rsid w:val="0066112E"/>
    <w:rsid w:val="00661EE3"/>
    <w:rsid w:val="006628A4"/>
    <w:rsid w:val="00664EB7"/>
    <w:rsid w:val="00670874"/>
    <w:rsid w:val="00673379"/>
    <w:rsid w:val="00673612"/>
    <w:rsid w:val="00675CCD"/>
    <w:rsid w:val="0068009B"/>
    <w:rsid w:val="00680171"/>
    <w:rsid w:val="00680616"/>
    <w:rsid w:val="00680B3D"/>
    <w:rsid w:val="0068293D"/>
    <w:rsid w:val="006850BA"/>
    <w:rsid w:val="00687EB6"/>
    <w:rsid w:val="00697228"/>
    <w:rsid w:val="006A0BDD"/>
    <w:rsid w:val="006A2186"/>
    <w:rsid w:val="006A7C55"/>
    <w:rsid w:val="006B5787"/>
    <w:rsid w:val="006B7475"/>
    <w:rsid w:val="006B7BC6"/>
    <w:rsid w:val="006B7C2F"/>
    <w:rsid w:val="006C05DE"/>
    <w:rsid w:val="006C401C"/>
    <w:rsid w:val="006C5409"/>
    <w:rsid w:val="006D283D"/>
    <w:rsid w:val="006E14C9"/>
    <w:rsid w:val="006E3205"/>
    <w:rsid w:val="006E3808"/>
    <w:rsid w:val="006F00AC"/>
    <w:rsid w:val="006F0A5E"/>
    <w:rsid w:val="00702D6D"/>
    <w:rsid w:val="0070438F"/>
    <w:rsid w:val="00704A76"/>
    <w:rsid w:val="00717ECD"/>
    <w:rsid w:val="00720A5A"/>
    <w:rsid w:val="00723AA5"/>
    <w:rsid w:val="00726DAD"/>
    <w:rsid w:val="0073137C"/>
    <w:rsid w:val="0073213C"/>
    <w:rsid w:val="00733038"/>
    <w:rsid w:val="00744B0B"/>
    <w:rsid w:val="0074511E"/>
    <w:rsid w:val="007462D1"/>
    <w:rsid w:val="00751794"/>
    <w:rsid w:val="007632DA"/>
    <w:rsid w:val="007722C4"/>
    <w:rsid w:val="00772D72"/>
    <w:rsid w:val="00775BF8"/>
    <w:rsid w:val="00781A9F"/>
    <w:rsid w:val="007877E3"/>
    <w:rsid w:val="007916D9"/>
    <w:rsid w:val="007943B0"/>
    <w:rsid w:val="00794C2F"/>
    <w:rsid w:val="00795384"/>
    <w:rsid w:val="00796763"/>
    <w:rsid w:val="00796C32"/>
    <w:rsid w:val="007979FB"/>
    <w:rsid w:val="007A1237"/>
    <w:rsid w:val="007A4B72"/>
    <w:rsid w:val="007B3007"/>
    <w:rsid w:val="007B3B4D"/>
    <w:rsid w:val="007B58E8"/>
    <w:rsid w:val="007C2DF3"/>
    <w:rsid w:val="007C6407"/>
    <w:rsid w:val="007D0EDE"/>
    <w:rsid w:val="007D1210"/>
    <w:rsid w:val="007D722A"/>
    <w:rsid w:val="007E1D2B"/>
    <w:rsid w:val="007E24BC"/>
    <w:rsid w:val="007E3065"/>
    <w:rsid w:val="007E5491"/>
    <w:rsid w:val="007F15A6"/>
    <w:rsid w:val="007F5D32"/>
    <w:rsid w:val="008028C7"/>
    <w:rsid w:val="008047AC"/>
    <w:rsid w:val="00804E2B"/>
    <w:rsid w:val="00811CF7"/>
    <w:rsid w:val="00814768"/>
    <w:rsid w:val="00821CEF"/>
    <w:rsid w:val="00823833"/>
    <w:rsid w:val="00824B3B"/>
    <w:rsid w:val="008332F6"/>
    <w:rsid w:val="00834947"/>
    <w:rsid w:val="00836E87"/>
    <w:rsid w:val="00837DF0"/>
    <w:rsid w:val="00845C4B"/>
    <w:rsid w:val="00847A3C"/>
    <w:rsid w:val="00861BC0"/>
    <w:rsid w:val="0087024D"/>
    <w:rsid w:val="00871E5D"/>
    <w:rsid w:val="008809D5"/>
    <w:rsid w:val="00880A1C"/>
    <w:rsid w:val="00890B7D"/>
    <w:rsid w:val="0089764D"/>
    <w:rsid w:val="008A063E"/>
    <w:rsid w:val="008A1096"/>
    <w:rsid w:val="008A1848"/>
    <w:rsid w:val="008A49AD"/>
    <w:rsid w:val="008A6047"/>
    <w:rsid w:val="008A6302"/>
    <w:rsid w:val="008B145B"/>
    <w:rsid w:val="008B7A7B"/>
    <w:rsid w:val="008C1C9B"/>
    <w:rsid w:val="008C3A94"/>
    <w:rsid w:val="008D03BD"/>
    <w:rsid w:val="008D15C7"/>
    <w:rsid w:val="008D3F60"/>
    <w:rsid w:val="008D736A"/>
    <w:rsid w:val="008D7380"/>
    <w:rsid w:val="008E13EA"/>
    <w:rsid w:val="008E403D"/>
    <w:rsid w:val="008E460F"/>
    <w:rsid w:val="008E58A8"/>
    <w:rsid w:val="008E735C"/>
    <w:rsid w:val="008F6D8D"/>
    <w:rsid w:val="0090161A"/>
    <w:rsid w:val="00906C85"/>
    <w:rsid w:val="00914CBA"/>
    <w:rsid w:val="0091574B"/>
    <w:rsid w:val="00915BEB"/>
    <w:rsid w:val="0092575B"/>
    <w:rsid w:val="009265DB"/>
    <w:rsid w:val="00932225"/>
    <w:rsid w:val="00932AA8"/>
    <w:rsid w:val="00933769"/>
    <w:rsid w:val="00933BE7"/>
    <w:rsid w:val="00940413"/>
    <w:rsid w:val="00953FEB"/>
    <w:rsid w:val="009610CB"/>
    <w:rsid w:val="00963381"/>
    <w:rsid w:val="00966D53"/>
    <w:rsid w:val="00967F32"/>
    <w:rsid w:val="00973918"/>
    <w:rsid w:val="00975F27"/>
    <w:rsid w:val="00976512"/>
    <w:rsid w:val="0098399E"/>
    <w:rsid w:val="00987CEC"/>
    <w:rsid w:val="00992267"/>
    <w:rsid w:val="009A13A0"/>
    <w:rsid w:val="009A1426"/>
    <w:rsid w:val="009A2A64"/>
    <w:rsid w:val="009A2EF3"/>
    <w:rsid w:val="009A3414"/>
    <w:rsid w:val="009A4180"/>
    <w:rsid w:val="009B1523"/>
    <w:rsid w:val="009B358A"/>
    <w:rsid w:val="009C0EBA"/>
    <w:rsid w:val="009C2478"/>
    <w:rsid w:val="009D2228"/>
    <w:rsid w:val="009D2382"/>
    <w:rsid w:val="009D6786"/>
    <w:rsid w:val="009E2BB3"/>
    <w:rsid w:val="009E2BDC"/>
    <w:rsid w:val="009F3A7A"/>
    <w:rsid w:val="009F50BB"/>
    <w:rsid w:val="009F5E7A"/>
    <w:rsid w:val="009F67E0"/>
    <w:rsid w:val="00A00482"/>
    <w:rsid w:val="00A012B1"/>
    <w:rsid w:val="00A03F4B"/>
    <w:rsid w:val="00A128E1"/>
    <w:rsid w:val="00A15CA5"/>
    <w:rsid w:val="00A2034E"/>
    <w:rsid w:val="00A22659"/>
    <w:rsid w:val="00A2474D"/>
    <w:rsid w:val="00A24781"/>
    <w:rsid w:val="00A27329"/>
    <w:rsid w:val="00A27EF1"/>
    <w:rsid w:val="00A32707"/>
    <w:rsid w:val="00A34606"/>
    <w:rsid w:val="00A34E1B"/>
    <w:rsid w:val="00A3509F"/>
    <w:rsid w:val="00A35B7B"/>
    <w:rsid w:val="00A36EE4"/>
    <w:rsid w:val="00A40EBE"/>
    <w:rsid w:val="00A454DC"/>
    <w:rsid w:val="00A4716E"/>
    <w:rsid w:val="00A47AE0"/>
    <w:rsid w:val="00A47C92"/>
    <w:rsid w:val="00A50C9B"/>
    <w:rsid w:val="00A50D3E"/>
    <w:rsid w:val="00A539BD"/>
    <w:rsid w:val="00A553D4"/>
    <w:rsid w:val="00A57877"/>
    <w:rsid w:val="00A61510"/>
    <w:rsid w:val="00A63186"/>
    <w:rsid w:val="00A64446"/>
    <w:rsid w:val="00A73A18"/>
    <w:rsid w:val="00A75B2E"/>
    <w:rsid w:val="00A75F3D"/>
    <w:rsid w:val="00A805E1"/>
    <w:rsid w:val="00A84D99"/>
    <w:rsid w:val="00A858C5"/>
    <w:rsid w:val="00A87122"/>
    <w:rsid w:val="00A911EB"/>
    <w:rsid w:val="00A91269"/>
    <w:rsid w:val="00A93933"/>
    <w:rsid w:val="00AA0C00"/>
    <w:rsid w:val="00AA7D36"/>
    <w:rsid w:val="00AB0B88"/>
    <w:rsid w:val="00AB2490"/>
    <w:rsid w:val="00AB5373"/>
    <w:rsid w:val="00AC11CB"/>
    <w:rsid w:val="00AC13CA"/>
    <w:rsid w:val="00AC6FFD"/>
    <w:rsid w:val="00AD161E"/>
    <w:rsid w:val="00AD4E52"/>
    <w:rsid w:val="00AE0D5C"/>
    <w:rsid w:val="00AE1DD2"/>
    <w:rsid w:val="00AE5508"/>
    <w:rsid w:val="00AE5F50"/>
    <w:rsid w:val="00AF21AC"/>
    <w:rsid w:val="00AF223F"/>
    <w:rsid w:val="00AF42AD"/>
    <w:rsid w:val="00B02083"/>
    <w:rsid w:val="00B07043"/>
    <w:rsid w:val="00B20B52"/>
    <w:rsid w:val="00B210E4"/>
    <w:rsid w:val="00B21FFD"/>
    <w:rsid w:val="00B263AE"/>
    <w:rsid w:val="00B3142C"/>
    <w:rsid w:val="00B31A9F"/>
    <w:rsid w:val="00B3309B"/>
    <w:rsid w:val="00B3571C"/>
    <w:rsid w:val="00B35B92"/>
    <w:rsid w:val="00B360E5"/>
    <w:rsid w:val="00B36950"/>
    <w:rsid w:val="00B44CC8"/>
    <w:rsid w:val="00B56BD0"/>
    <w:rsid w:val="00B62255"/>
    <w:rsid w:val="00B636A3"/>
    <w:rsid w:val="00B64CA6"/>
    <w:rsid w:val="00B70C56"/>
    <w:rsid w:val="00B71B41"/>
    <w:rsid w:val="00B731C6"/>
    <w:rsid w:val="00B7341C"/>
    <w:rsid w:val="00B75124"/>
    <w:rsid w:val="00B76F58"/>
    <w:rsid w:val="00B80C40"/>
    <w:rsid w:val="00B956E8"/>
    <w:rsid w:val="00B96328"/>
    <w:rsid w:val="00BA0D07"/>
    <w:rsid w:val="00BA1C43"/>
    <w:rsid w:val="00BA1D7B"/>
    <w:rsid w:val="00BA4D49"/>
    <w:rsid w:val="00BA7AAB"/>
    <w:rsid w:val="00BB2100"/>
    <w:rsid w:val="00BB7404"/>
    <w:rsid w:val="00BC5E74"/>
    <w:rsid w:val="00BD1D04"/>
    <w:rsid w:val="00BD6594"/>
    <w:rsid w:val="00BE2446"/>
    <w:rsid w:val="00BE3B74"/>
    <w:rsid w:val="00BE431B"/>
    <w:rsid w:val="00BE4CF8"/>
    <w:rsid w:val="00BF2AB0"/>
    <w:rsid w:val="00BF4F95"/>
    <w:rsid w:val="00BF6FEE"/>
    <w:rsid w:val="00C07B3B"/>
    <w:rsid w:val="00C13EAF"/>
    <w:rsid w:val="00C20C12"/>
    <w:rsid w:val="00C23EF1"/>
    <w:rsid w:val="00C24015"/>
    <w:rsid w:val="00C26FFA"/>
    <w:rsid w:val="00C3330A"/>
    <w:rsid w:val="00C36CE2"/>
    <w:rsid w:val="00C3701E"/>
    <w:rsid w:val="00C37A88"/>
    <w:rsid w:val="00C4127C"/>
    <w:rsid w:val="00C414D8"/>
    <w:rsid w:val="00C42726"/>
    <w:rsid w:val="00C42CF2"/>
    <w:rsid w:val="00C43D1F"/>
    <w:rsid w:val="00C55397"/>
    <w:rsid w:val="00C61D01"/>
    <w:rsid w:val="00C73372"/>
    <w:rsid w:val="00C74376"/>
    <w:rsid w:val="00C83CA3"/>
    <w:rsid w:val="00C85356"/>
    <w:rsid w:val="00C87B3B"/>
    <w:rsid w:val="00C90926"/>
    <w:rsid w:val="00C92D9F"/>
    <w:rsid w:val="00C93BDE"/>
    <w:rsid w:val="00C947BC"/>
    <w:rsid w:val="00C97AC5"/>
    <w:rsid w:val="00C97FFC"/>
    <w:rsid w:val="00CB0FE5"/>
    <w:rsid w:val="00CB5EFE"/>
    <w:rsid w:val="00CC4AFD"/>
    <w:rsid w:val="00CD18CE"/>
    <w:rsid w:val="00CD28BF"/>
    <w:rsid w:val="00CD7505"/>
    <w:rsid w:val="00CE0DE2"/>
    <w:rsid w:val="00CE18A4"/>
    <w:rsid w:val="00CE389E"/>
    <w:rsid w:val="00CE43F9"/>
    <w:rsid w:val="00CE44A2"/>
    <w:rsid w:val="00CE7182"/>
    <w:rsid w:val="00CE75F4"/>
    <w:rsid w:val="00CF41FE"/>
    <w:rsid w:val="00CF443E"/>
    <w:rsid w:val="00D03D93"/>
    <w:rsid w:val="00D0695C"/>
    <w:rsid w:val="00D122BC"/>
    <w:rsid w:val="00D1385A"/>
    <w:rsid w:val="00D21BED"/>
    <w:rsid w:val="00D23A93"/>
    <w:rsid w:val="00D25F3D"/>
    <w:rsid w:val="00D27A05"/>
    <w:rsid w:val="00D35F91"/>
    <w:rsid w:val="00D40484"/>
    <w:rsid w:val="00D41012"/>
    <w:rsid w:val="00D41A87"/>
    <w:rsid w:val="00D43ECB"/>
    <w:rsid w:val="00D4467D"/>
    <w:rsid w:val="00D44E87"/>
    <w:rsid w:val="00D4634C"/>
    <w:rsid w:val="00D52F06"/>
    <w:rsid w:val="00D55A7F"/>
    <w:rsid w:val="00D576F9"/>
    <w:rsid w:val="00D60E68"/>
    <w:rsid w:val="00D62D7B"/>
    <w:rsid w:val="00D639D4"/>
    <w:rsid w:val="00D75FBD"/>
    <w:rsid w:val="00D80627"/>
    <w:rsid w:val="00D80F9C"/>
    <w:rsid w:val="00D82565"/>
    <w:rsid w:val="00D85A00"/>
    <w:rsid w:val="00D85BF6"/>
    <w:rsid w:val="00D870A7"/>
    <w:rsid w:val="00D87864"/>
    <w:rsid w:val="00D97735"/>
    <w:rsid w:val="00DA0A16"/>
    <w:rsid w:val="00DA0E4B"/>
    <w:rsid w:val="00DA2602"/>
    <w:rsid w:val="00DA4C7E"/>
    <w:rsid w:val="00DB4996"/>
    <w:rsid w:val="00DB7D7F"/>
    <w:rsid w:val="00DC09A4"/>
    <w:rsid w:val="00DD01E5"/>
    <w:rsid w:val="00DD694B"/>
    <w:rsid w:val="00DF63B7"/>
    <w:rsid w:val="00DF76CC"/>
    <w:rsid w:val="00E069F0"/>
    <w:rsid w:val="00E06A5E"/>
    <w:rsid w:val="00E15817"/>
    <w:rsid w:val="00E21CF4"/>
    <w:rsid w:val="00E24CB6"/>
    <w:rsid w:val="00E35FA6"/>
    <w:rsid w:val="00E40F31"/>
    <w:rsid w:val="00E4655D"/>
    <w:rsid w:val="00E53891"/>
    <w:rsid w:val="00E541E3"/>
    <w:rsid w:val="00E5770F"/>
    <w:rsid w:val="00E672FD"/>
    <w:rsid w:val="00E675E8"/>
    <w:rsid w:val="00E733DC"/>
    <w:rsid w:val="00E77DA9"/>
    <w:rsid w:val="00E80177"/>
    <w:rsid w:val="00E82E13"/>
    <w:rsid w:val="00E85CD7"/>
    <w:rsid w:val="00E9367D"/>
    <w:rsid w:val="00E93A66"/>
    <w:rsid w:val="00E968F5"/>
    <w:rsid w:val="00EA3D5B"/>
    <w:rsid w:val="00EB2292"/>
    <w:rsid w:val="00EB3020"/>
    <w:rsid w:val="00EB4C10"/>
    <w:rsid w:val="00EB6202"/>
    <w:rsid w:val="00EB663C"/>
    <w:rsid w:val="00EC0528"/>
    <w:rsid w:val="00EC0CEF"/>
    <w:rsid w:val="00EC34F1"/>
    <w:rsid w:val="00EC59A5"/>
    <w:rsid w:val="00EC7578"/>
    <w:rsid w:val="00ED1135"/>
    <w:rsid w:val="00ED25E1"/>
    <w:rsid w:val="00ED3FB5"/>
    <w:rsid w:val="00ED491F"/>
    <w:rsid w:val="00ED4F9A"/>
    <w:rsid w:val="00ED6AF5"/>
    <w:rsid w:val="00EE3F1A"/>
    <w:rsid w:val="00EE57EB"/>
    <w:rsid w:val="00EF1DE1"/>
    <w:rsid w:val="00F02346"/>
    <w:rsid w:val="00F026D1"/>
    <w:rsid w:val="00F02F6B"/>
    <w:rsid w:val="00F03F06"/>
    <w:rsid w:val="00F04C33"/>
    <w:rsid w:val="00F1286E"/>
    <w:rsid w:val="00F1625B"/>
    <w:rsid w:val="00F20125"/>
    <w:rsid w:val="00F2304F"/>
    <w:rsid w:val="00F2783F"/>
    <w:rsid w:val="00F278E8"/>
    <w:rsid w:val="00F33154"/>
    <w:rsid w:val="00F34839"/>
    <w:rsid w:val="00F36EB5"/>
    <w:rsid w:val="00F4119D"/>
    <w:rsid w:val="00F47EF3"/>
    <w:rsid w:val="00F50978"/>
    <w:rsid w:val="00F52C51"/>
    <w:rsid w:val="00F5587C"/>
    <w:rsid w:val="00F573B5"/>
    <w:rsid w:val="00F64723"/>
    <w:rsid w:val="00F67632"/>
    <w:rsid w:val="00F7056B"/>
    <w:rsid w:val="00F72448"/>
    <w:rsid w:val="00F777E6"/>
    <w:rsid w:val="00F83213"/>
    <w:rsid w:val="00F867E1"/>
    <w:rsid w:val="00F96ED1"/>
    <w:rsid w:val="00F974D2"/>
    <w:rsid w:val="00FA6543"/>
    <w:rsid w:val="00FA6FF8"/>
    <w:rsid w:val="00FB3591"/>
    <w:rsid w:val="00FB474C"/>
    <w:rsid w:val="00FB69FF"/>
    <w:rsid w:val="00FC1A8D"/>
    <w:rsid w:val="00FC36AA"/>
    <w:rsid w:val="00FC5731"/>
    <w:rsid w:val="00FC625D"/>
    <w:rsid w:val="00FC65A0"/>
    <w:rsid w:val="00FC6B59"/>
    <w:rsid w:val="00FD0CF9"/>
    <w:rsid w:val="00FD177C"/>
    <w:rsid w:val="00FD3CB9"/>
    <w:rsid w:val="00FD5521"/>
    <w:rsid w:val="00FE0D68"/>
    <w:rsid w:val="00FE18FB"/>
    <w:rsid w:val="00FE2672"/>
    <w:rsid w:val="00FE487F"/>
    <w:rsid w:val="00FE4C74"/>
  </w:rsids>
  <m:mathPr>
    <m:mathFont m:val="Calibri Light"/>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5DE"/>
    <w:rPr>
      <w:rFonts w:ascii="Times New Roman" w:eastAsia="MS Mincho" w:hAnsi="Times New Roman" w:cs="Times New Roman"/>
      <w:kern w:val="0"/>
      <w:sz w:val="24"/>
      <w:szCs w:val="24"/>
      <w:lang w:val="de-DE"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C05D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val="en-US" w:eastAsia="zh-CN"/>
    </w:rPr>
  </w:style>
  <w:style w:type="character" w:customStyle="1" w:styleId="HeaderChar">
    <w:name w:val="Header Char"/>
    <w:basedOn w:val="DefaultParagraphFont"/>
    <w:link w:val="Header"/>
    <w:uiPriority w:val="99"/>
    <w:semiHidden/>
    <w:rsid w:val="006C05DE"/>
    <w:rPr>
      <w:sz w:val="18"/>
      <w:szCs w:val="18"/>
    </w:rPr>
  </w:style>
  <w:style w:type="paragraph" w:styleId="Footer">
    <w:name w:val="footer"/>
    <w:basedOn w:val="Normal"/>
    <w:link w:val="FooterChar"/>
    <w:uiPriority w:val="99"/>
    <w:semiHidden/>
    <w:unhideWhenUsed/>
    <w:rsid w:val="006C05DE"/>
    <w:pPr>
      <w:widowControl w:val="0"/>
      <w:tabs>
        <w:tab w:val="center" w:pos="4153"/>
        <w:tab w:val="right" w:pos="8306"/>
      </w:tabs>
      <w:snapToGrid w:val="0"/>
    </w:pPr>
    <w:rPr>
      <w:rFonts w:asciiTheme="minorHAnsi" w:eastAsiaTheme="minorEastAsia" w:hAnsiTheme="minorHAnsi" w:cstheme="minorBidi"/>
      <w:kern w:val="2"/>
      <w:sz w:val="18"/>
      <w:szCs w:val="18"/>
      <w:lang w:val="en-US" w:eastAsia="zh-CN"/>
    </w:rPr>
  </w:style>
  <w:style w:type="character" w:customStyle="1" w:styleId="FooterChar">
    <w:name w:val="Footer Char"/>
    <w:basedOn w:val="DefaultParagraphFont"/>
    <w:link w:val="Footer"/>
    <w:uiPriority w:val="99"/>
    <w:semiHidden/>
    <w:rsid w:val="006C05DE"/>
    <w:rPr>
      <w:sz w:val="18"/>
      <w:szCs w:val="18"/>
    </w:rPr>
  </w:style>
  <w:style w:type="paragraph" w:customStyle="1" w:styleId="TableCaption">
    <w:name w:val="TableCaption"/>
    <w:basedOn w:val="Normal"/>
    <w:link w:val="TableCaptionChar"/>
    <w:rsid w:val="006C05DE"/>
    <w:pPr>
      <w:spacing w:after="120" w:line="190" w:lineRule="exact"/>
      <w:jc w:val="both"/>
    </w:pPr>
    <w:rPr>
      <w:rFonts w:ascii="Arial" w:hAnsi="Arial"/>
      <w:sz w:val="16"/>
      <w:szCs w:val="14"/>
      <w:lang w:val="en-GB"/>
    </w:rPr>
  </w:style>
  <w:style w:type="paragraph" w:customStyle="1" w:styleId="TableHead">
    <w:name w:val="TableHead"/>
    <w:basedOn w:val="TableCaption"/>
    <w:rsid w:val="006C05DE"/>
    <w:pPr>
      <w:pBdr>
        <w:top w:val="single" w:sz="4" w:space="4" w:color="FFFFFF"/>
        <w:left w:val="single" w:sz="4" w:space="4" w:color="FFFFFF"/>
        <w:bottom w:val="single" w:sz="4" w:space="4" w:color="FFFFFF"/>
        <w:right w:val="single" w:sz="4" w:space="4" w:color="FFFFFF"/>
      </w:pBdr>
      <w:spacing w:after="0"/>
    </w:pPr>
  </w:style>
  <w:style w:type="paragraph" w:customStyle="1" w:styleId="TableBody">
    <w:name w:val="TableBody"/>
    <w:basedOn w:val="TableHead"/>
    <w:rsid w:val="006C05DE"/>
  </w:style>
  <w:style w:type="paragraph" w:customStyle="1" w:styleId="TableFoot">
    <w:name w:val="TableFoot"/>
    <w:basedOn w:val="TableBody"/>
    <w:rsid w:val="006C05DE"/>
    <w:pPr>
      <w:spacing w:before="60" w:after="60"/>
    </w:pPr>
  </w:style>
  <w:style w:type="character" w:customStyle="1" w:styleId="apple-style-span">
    <w:name w:val="apple-style-span"/>
    <w:rsid w:val="006C05DE"/>
    <w:rPr>
      <w:rFonts w:cs="Times New Roman"/>
    </w:rPr>
  </w:style>
  <w:style w:type="character" w:customStyle="1" w:styleId="TableCaptionChar">
    <w:name w:val="TableCaption Char"/>
    <w:link w:val="TableCaption"/>
    <w:locked/>
    <w:rsid w:val="006C05DE"/>
    <w:rPr>
      <w:rFonts w:ascii="Arial" w:eastAsia="MS Mincho" w:hAnsi="Arial" w:cs="Times New Roman"/>
      <w:kern w:val="0"/>
      <w:sz w:val="16"/>
      <w:szCs w:val="14"/>
      <w:lang w:val="en-GB" w:eastAsia="ja-JP"/>
    </w:rPr>
  </w:style>
  <w:style w:type="paragraph" w:styleId="BalloonText">
    <w:name w:val="Balloon Text"/>
    <w:basedOn w:val="Normal"/>
    <w:link w:val="BalloonTextChar"/>
    <w:uiPriority w:val="99"/>
    <w:semiHidden/>
    <w:unhideWhenUsed/>
    <w:rsid w:val="006C05DE"/>
    <w:rPr>
      <w:sz w:val="18"/>
      <w:szCs w:val="18"/>
    </w:rPr>
  </w:style>
  <w:style w:type="character" w:customStyle="1" w:styleId="BalloonTextChar">
    <w:name w:val="Balloon Text Char"/>
    <w:basedOn w:val="DefaultParagraphFont"/>
    <w:link w:val="BalloonText"/>
    <w:uiPriority w:val="99"/>
    <w:semiHidden/>
    <w:rsid w:val="006C05DE"/>
    <w:rPr>
      <w:rFonts w:ascii="Times New Roman" w:eastAsia="MS Mincho" w:hAnsi="Times New Roman" w:cs="Times New Roman"/>
      <w:kern w:val="0"/>
      <w:sz w:val="18"/>
      <w:szCs w:val="18"/>
      <w:lang w:val="de-DE" w:eastAsia="ja-JP"/>
    </w:rPr>
  </w:style>
  <w:style w:type="paragraph" w:customStyle="1" w:styleId="Legend">
    <w:name w:val="Legend"/>
    <w:basedOn w:val="Normal"/>
    <w:autoRedefine/>
    <w:rsid w:val="006C05DE"/>
    <w:pPr>
      <w:spacing w:line="480" w:lineRule="auto"/>
      <w:jc w:val="both"/>
    </w:pPr>
  </w:style>
  <w:style w:type="character" w:customStyle="1" w:styleId="apple-converted-space">
    <w:name w:val="apple-converted-space"/>
    <w:basedOn w:val="DefaultParagraphFont"/>
    <w:rsid w:val="00B963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5DE"/>
    <w:rPr>
      <w:rFonts w:ascii="Times New Roman" w:eastAsia="MS Mincho" w:hAnsi="Times New Roman" w:cs="Times New Roman"/>
      <w:kern w:val="0"/>
      <w:sz w:val="24"/>
      <w:szCs w:val="24"/>
      <w:lang w:val="de-D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05D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val="en-US" w:eastAsia="zh-CN"/>
    </w:rPr>
  </w:style>
  <w:style w:type="character" w:customStyle="1" w:styleId="HeaderChar">
    <w:name w:val="Header Char"/>
    <w:basedOn w:val="DefaultParagraphFont"/>
    <w:link w:val="Header"/>
    <w:uiPriority w:val="99"/>
    <w:semiHidden/>
    <w:rsid w:val="006C05DE"/>
    <w:rPr>
      <w:sz w:val="18"/>
      <w:szCs w:val="18"/>
    </w:rPr>
  </w:style>
  <w:style w:type="paragraph" w:styleId="Footer">
    <w:name w:val="footer"/>
    <w:basedOn w:val="Normal"/>
    <w:link w:val="FooterChar"/>
    <w:uiPriority w:val="99"/>
    <w:semiHidden/>
    <w:unhideWhenUsed/>
    <w:rsid w:val="006C05DE"/>
    <w:pPr>
      <w:widowControl w:val="0"/>
      <w:tabs>
        <w:tab w:val="center" w:pos="4153"/>
        <w:tab w:val="right" w:pos="8306"/>
      </w:tabs>
      <w:snapToGrid w:val="0"/>
    </w:pPr>
    <w:rPr>
      <w:rFonts w:asciiTheme="minorHAnsi" w:eastAsiaTheme="minorEastAsia" w:hAnsiTheme="minorHAnsi" w:cstheme="minorBidi"/>
      <w:kern w:val="2"/>
      <w:sz w:val="18"/>
      <w:szCs w:val="18"/>
      <w:lang w:val="en-US" w:eastAsia="zh-CN"/>
    </w:rPr>
  </w:style>
  <w:style w:type="character" w:customStyle="1" w:styleId="FooterChar">
    <w:name w:val="Footer Char"/>
    <w:basedOn w:val="DefaultParagraphFont"/>
    <w:link w:val="Footer"/>
    <w:uiPriority w:val="99"/>
    <w:semiHidden/>
    <w:rsid w:val="006C05DE"/>
    <w:rPr>
      <w:sz w:val="18"/>
      <w:szCs w:val="18"/>
    </w:rPr>
  </w:style>
  <w:style w:type="paragraph" w:customStyle="1" w:styleId="TableCaption">
    <w:name w:val="TableCaption"/>
    <w:basedOn w:val="Normal"/>
    <w:link w:val="TableCaptionChar"/>
    <w:rsid w:val="006C05DE"/>
    <w:pPr>
      <w:spacing w:after="120" w:line="190" w:lineRule="exact"/>
      <w:jc w:val="both"/>
    </w:pPr>
    <w:rPr>
      <w:rFonts w:ascii="Arial" w:hAnsi="Arial"/>
      <w:sz w:val="16"/>
      <w:szCs w:val="14"/>
      <w:lang w:val="en-GB"/>
    </w:rPr>
  </w:style>
  <w:style w:type="paragraph" w:customStyle="1" w:styleId="TableHead">
    <w:name w:val="TableHead"/>
    <w:basedOn w:val="TableCaption"/>
    <w:rsid w:val="006C05DE"/>
    <w:pPr>
      <w:pBdr>
        <w:top w:val="single" w:sz="4" w:space="4" w:color="FFFFFF"/>
        <w:left w:val="single" w:sz="4" w:space="4" w:color="FFFFFF"/>
        <w:bottom w:val="single" w:sz="4" w:space="4" w:color="FFFFFF"/>
        <w:right w:val="single" w:sz="4" w:space="4" w:color="FFFFFF"/>
      </w:pBdr>
      <w:spacing w:after="0"/>
    </w:pPr>
  </w:style>
  <w:style w:type="paragraph" w:customStyle="1" w:styleId="TableBody">
    <w:name w:val="TableBody"/>
    <w:basedOn w:val="TableHead"/>
    <w:rsid w:val="006C05DE"/>
  </w:style>
  <w:style w:type="paragraph" w:customStyle="1" w:styleId="TableFoot">
    <w:name w:val="TableFoot"/>
    <w:basedOn w:val="TableBody"/>
    <w:rsid w:val="006C05DE"/>
    <w:pPr>
      <w:spacing w:before="60" w:after="60"/>
    </w:pPr>
  </w:style>
  <w:style w:type="character" w:customStyle="1" w:styleId="apple-style-span">
    <w:name w:val="apple-style-span"/>
    <w:rsid w:val="006C05DE"/>
    <w:rPr>
      <w:rFonts w:cs="Times New Roman"/>
    </w:rPr>
  </w:style>
  <w:style w:type="character" w:customStyle="1" w:styleId="TableCaptionChar">
    <w:name w:val="TableCaption Char"/>
    <w:link w:val="TableCaption"/>
    <w:locked/>
    <w:rsid w:val="006C05DE"/>
    <w:rPr>
      <w:rFonts w:ascii="Arial" w:eastAsia="MS Mincho" w:hAnsi="Arial" w:cs="Times New Roman"/>
      <w:kern w:val="0"/>
      <w:sz w:val="16"/>
      <w:szCs w:val="14"/>
      <w:lang w:val="en-GB" w:eastAsia="ja-JP"/>
    </w:rPr>
  </w:style>
  <w:style w:type="paragraph" w:styleId="BalloonText">
    <w:name w:val="Balloon Text"/>
    <w:basedOn w:val="Normal"/>
    <w:link w:val="BalloonTextChar"/>
    <w:uiPriority w:val="99"/>
    <w:semiHidden/>
    <w:unhideWhenUsed/>
    <w:rsid w:val="006C05DE"/>
    <w:rPr>
      <w:sz w:val="18"/>
      <w:szCs w:val="18"/>
    </w:rPr>
  </w:style>
  <w:style w:type="character" w:customStyle="1" w:styleId="BalloonTextChar">
    <w:name w:val="Balloon Text Char"/>
    <w:basedOn w:val="DefaultParagraphFont"/>
    <w:link w:val="BalloonText"/>
    <w:uiPriority w:val="99"/>
    <w:semiHidden/>
    <w:rsid w:val="006C05DE"/>
    <w:rPr>
      <w:rFonts w:ascii="Times New Roman" w:eastAsia="MS Mincho" w:hAnsi="Times New Roman" w:cs="Times New Roman"/>
      <w:kern w:val="0"/>
      <w:sz w:val="18"/>
      <w:szCs w:val="18"/>
      <w:lang w:val="de-DE" w:eastAsia="ja-JP"/>
    </w:rPr>
  </w:style>
  <w:style w:type="paragraph" w:customStyle="1" w:styleId="Legend">
    <w:name w:val="Legend"/>
    <w:basedOn w:val="Normal"/>
    <w:autoRedefine/>
    <w:rsid w:val="006C05DE"/>
    <w:pPr>
      <w:spacing w:line="480" w:lineRule="auto"/>
      <w:jc w:val="both"/>
    </w:pPr>
  </w:style>
  <w:style w:type="character" w:customStyle="1" w:styleId="apple-converted-space">
    <w:name w:val="apple-converted-space"/>
    <w:basedOn w:val="DefaultParagraphFont"/>
    <w:rsid w:val="00B96328"/>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emf"/><Relationship Id="rId14" Type="http://schemas.openxmlformats.org/officeDocument/2006/relationships/oleObject" Target="embeddings/oleObject3.bin"/><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wmf"/><Relationship Id="rId7" Type="http://schemas.openxmlformats.org/officeDocument/2006/relationships/oleObject" Target="embeddings/oleObject1.bin"/><Relationship Id="rId8" Type="http://schemas.openxmlformats.org/officeDocument/2006/relationships/image" Target="media/image2.wmf"/><Relationship Id="rId9" Type="http://schemas.openxmlformats.org/officeDocument/2006/relationships/oleObject" Target="embeddings/oleObject2.bin"/><Relationship Id="rId10"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1848</Words>
  <Characters>10537</Characters>
  <Application>Microsoft Macintosh Word</Application>
  <DocSecurity>0</DocSecurity>
  <Lines>87</Lines>
  <Paragraphs>21</Paragraphs>
  <ScaleCrop>false</ScaleCrop>
  <Company/>
  <LinksUpToDate>false</LinksUpToDate>
  <CharactersWithSpaces>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TXoBsiDian</dc:creator>
  <cp:lastModifiedBy>acs_control</cp:lastModifiedBy>
  <cp:revision>3</cp:revision>
  <cp:lastPrinted>2013-08-05T20:47:00Z</cp:lastPrinted>
  <dcterms:created xsi:type="dcterms:W3CDTF">2013-10-22T20:12:00Z</dcterms:created>
  <dcterms:modified xsi:type="dcterms:W3CDTF">2013-10-22T20:15:00Z</dcterms:modified>
</cp:coreProperties>
</file>